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BBC" w:rsidRPr="00990BBC" w:rsidRDefault="00990BBC" w:rsidP="00AF0803">
      <w:pPr>
        <w:pStyle w:val="Heading1"/>
        <w:ind w:left="0"/>
        <w:rPr>
          <w:sz w:val="28"/>
          <w:lang w:val="fr-CA"/>
        </w:rPr>
      </w:pPr>
      <w:bookmarkStart w:id="0" w:name="_Toc500844203"/>
      <w:r w:rsidRPr="00990BBC">
        <w:rPr>
          <w:sz w:val="28"/>
          <w:lang w:val="fr-CA"/>
        </w:rPr>
        <w:t>L’ENVERGURE DES TRAVAUX</w:t>
      </w:r>
      <w:bookmarkEnd w:id="0"/>
    </w:p>
    <w:p w:rsidR="00990BBC" w:rsidRPr="00884978" w:rsidRDefault="00990BBC" w:rsidP="00990BBC">
      <w:pPr>
        <w:ind w:left="0"/>
        <w:rPr>
          <w:rFonts w:eastAsiaTheme="minorHAnsi" w:cstheme="minorBidi"/>
          <w:szCs w:val="22"/>
          <w:lang w:val="fr-CA"/>
        </w:rPr>
      </w:pPr>
      <w:r w:rsidRPr="00884978">
        <w:rPr>
          <w:rFonts w:eastAsiaTheme="minorHAnsi" w:cstheme="minorBidi"/>
          <w:b/>
          <w:szCs w:val="22"/>
          <w:lang w:val="fr-CA"/>
        </w:rPr>
        <w:t>Inspection</w:t>
      </w:r>
      <w:r w:rsidRPr="00884978">
        <w:rPr>
          <w:rFonts w:eastAsiaTheme="minorHAnsi" w:cstheme="minorBidi"/>
          <w:szCs w:val="22"/>
          <w:lang w:val="fr-CA"/>
        </w:rPr>
        <w:t xml:space="preserve"> : nous avons inspecté l’intérieur et l’extérieur du bien </w:t>
      </w:r>
      <w:proofErr w:type="gramStart"/>
      <w:r w:rsidRPr="00884978">
        <w:rPr>
          <w:rFonts w:eastAsiaTheme="minorHAnsi" w:cstheme="minorBidi"/>
          <w:szCs w:val="22"/>
          <w:lang w:val="fr-CA"/>
        </w:rPr>
        <w:t>le</w:t>
      </w:r>
      <w:proofErr w:type="gramEnd"/>
      <w:r w:rsidRPr="00884978">
        <w:rPr>
          <w:rFonts w:eastAsiaTheme="minorHAnsi" w:cstheme="minorBidi"/>
          <w:szCs w:val="22"/>
          <w:lang w:val="fr-CA"/>
        </w:rPr>
        <w:t xml:space="preserve"> (date) en compagnie de (nom). Notre inspection du bien a également comporté un examen des cartes préparées par la municipalité locale et de nos dossiers antérieurs sur ce bien. Les photographies jointes ont été prises </w:t>
      </w:r>
      <w:proofErr w:type="gramStart"/>
      <w:r w:rsidRPr="00884978">
        <w:rPr>
          <w:rFonts w:eastAsiaTheme="minorHAnsi" w:cstheme="minorBidi"/>
          <w:szCs w:val="22"/>
          <w:lang w:val="fr-CA"/>
        </w:rPr>
        <w:t>le</w:t>
      </w:r>
      <w:proofErr w:type="gramEnd"/>
      <w:r w:rsidRPr="00884978">
        <w:rPr>
          <w:rFonts w:eastAsiaTheme="minorHAnsi" w:cstheme="minorBidi"/>
          <w:szCs w:val="22"/>
          <w:lang w:val="fr-CA"/>
        </w:rPr>
        <w:t xml:space="preserve"> (date).</w:t>
      </w:r>
    </w:p>
    <w:p w:rsidR="00990BBC" w:rsidRPr="00884978" w:rsidRDefault="00990BBC" w:rsidP="00990BBC">
      <w:pPr>
        <w:ind w:left="0"/>
        <w:rPr>
          <w:rFonts w:eastAsiaTheme="minorHAnsi" w:cstheme="minorBidi"/>
          <w:szCs w:val="22"/>
          <w:lang w:val="fr-CA"/>
        </w:rPr>
      </w:pPr>
      <w:r w:rsidRPr="00884978">
        <w:rPr>
          <w:rFonts w:eastAsiaTheme="minorHAnsi" w:cstheme="minorBidi"/>
          <w:b/>
          <w:szCs w:val="22"/>
          <w:lang w:val="fr-CA"/>
        </w:rPr>
        <w:t>Type d’analyse</w:t>
      </w:r>
      <w:r w:rsidRPr="00884978">
        <w:rPr>
          <w:rFonts w:eastAsiaTheme="minorHAnsi" w:cstheme="minorBidi"/>
          <w:szCs w:val="22"/>
          <w:lang w:val="fr-CA"/>
        </w:rPr>
        <w:t xml:space="preserve"> (l’exemple suivant se rapporte à un travail de mise à jour) : les méthodes suivies pour notre rapport antérieur en date </w:t>
      </w:r>
      <w:proofErr w:type="gramStart"/>
      <w:r w:rsidRPr="00884978">
        <w:rPr>
          <w:rFonts w:eastAsiaTheme="minorHAnsi" w:cstheme="minorBidi"/>
          <w:szCs w:val="22"/>
          <w:lang w:val="fr-CA"/>
        </w:rPr>
        <w:t>du</w:t>
      </w:r>
      <w:proofErr w:type="gramEnd"/>
      <w:r w:rsidRPr="00884978">
        <w:rPr>
          <w:rFonts w:eastAsiaTheme="minorHAnsi" w:cstheme="minorBidi"/>
          <w:szCs w:val="22"/>
          <w:lang w:val="fr-CA"/>
        </w:rPr>
        <w:t xml:space="preserve"> (date) ont été étudiées quant à leur pertinence à ce contrat de service, y compris un examen des données sur le marché nécessaire à l’application opportune desdites méthodes. À cette fin, la méthode (de la comparaison directe, du revenu et/ou des coûts – selon le cas) a été appliquée et ensuite conciliée pour obtenir une estimation de la valeur définitive.</w:t>
      </w:r>
    </w:p>
    <w:p w:rsidR="00990BBC" w:rsidRPr="00884978" w:rsidRDefault="00990BBC" w:rsidP="00990BBC">
      <w:pPr>
        <w:ind w:left="0"/>
        <w:rPr>
          <w:rFonts w:eastAsiaTheme="minorHAnsi" w:cstheme="minorBidi"/>
          <w:szCs w:val="22"/>
          <w:lang w:val="fr-CA"/>
        </w:rPr>
      </w:pPr>
      <w:r w:rsidRPr="00884978">
        <w:rPr>
          <w:rFonts w:eastAsiaTheme="minorHAnsi" w:cstheme="minorBidi"/>
          <w:b/>
          <w:szCs w:val="22"/>
          <w:lang w:val="fr-CA"/>
        </w:rPr>
        <w:t>Étude des données</w:t>
      </w:r>
      <w:r w:rsidRPr="00884978">
        <w:rPr>
          <w:rFonts w:eastAsiaTheme="minorHAnsi" w:cstheme="minorBidi"/>
          <w:szCs w:val="22"/>
          <w:lang w:val="fr-CA"/>
        </w:rPr>
        <w:t xml:space="preserve"> : nous avons reçu nos instructions de la part de (nom), qui nous a fourni des renseignements sur le bien et sur les changements qui y ont été apportés depuis notre évaluation </w:t>
      </w:r>
      <w:proofErr w:type="gramStart"/>
      <w:r w:rsidRPr="00884978">
        <w:rPr>
          <w:rFonts w:eastAsiaTheme="minorHAnsi" w:cstheme="minorBidi"/>
          <w:szCs w:val="22"/>
          <w:lang w:val="fr-CA"/>
        </w:rPr>
        <w:t>du</w:t>
      </w:r>
      <w:proofErr w:type="gramEnd"/>
      <w:r w:rsidRPr="00884978">
        <w:rPr>
          <w:rFonts w:eastAsiaTheme="minorHAnsi" w:cstheme="minorBidi"/>
          <w:szCs w:val="22"/>
          <w:lang w:val="fr-CA"/>
        </w:rPr>
        <w:t xml:space="preserve"> (date). Les publications produites par l’administration locale renfermaient des renseignements sur les contrôles pertinents exercés pour ce qui est de l’aménagement des terres. La chambre d’immeuble de la localité, les opérations du bureau des titres fonciers, y compris celles déclarées par les systèmes de données et les évaluateurs de la localité, ainsi que les agents immobiliers, les vendeurs et les acheteurs actifs sur le marché ont constitué les sources d’information sur le marché, le cas échéant. Le service de (nom) nous a fourni des renseignements sur l’état des titres.</w:t>
      </w:r>
    </w:p>
    <w:p w:rsidR="00990BBC" w:rsidRPr="00884978" w:rsidRDefault="00990BBC" w:rsidP="00990BBC">
      <w:pPr>
        <w:ind w:left="0"/>
        <w:rPr>
          <w:rFonts w:eastAsiaTheme="minorHAnsi" w:cstheme="minorBidi"/>
          <w:szCs w:val="22"/>
          <w:lang w:val="fr-CA"/>
        </w:rPr>
      </w:pPr>
      <w:r w:rsidRPr="00884978">
        <w:rPr>
          <w:rFonts w:eastAsiaTheme="minorHAnsi" w:cstheme="minorBidi"/>
          <w:b/>
          <w:szCs w:val="22"/>
          <w:lang w:val="fr-CA"/>
        </w:rPr>
        <w:t>Vérifications et études techniques</w:t>
      </w:r>
      <w:r w:rsidRPr="00884978">
        <w:rPr>
          <w:rFonts w:eastAsiaTheme="minorHAnsi" w:cstheme="minorBidi"/>
          <w:szCs w:val="22"/>
          <w:lang w:val="fr-CA"/>
        </w:rPr>
        <w:t xml:space="preserve"> : nous n’avons pas effectué d’études techniques complètes, par exemple :</w:t>
      </w:r>
    </w:p>
    <w:p w:rsidR="00990BBC" w:rsidRPr="00884978" w:rsidRDefault="00990BBC" w:rsidP="00990BBC">
      <w:pPr>
        <w:numPr>
          <w:ilvl w:val="0"/>
          <w:numId w:val="4"/>
        </w:numPr>
        <w:spacing w:before="0" w:after="160" w:line="259" w:lineRule="auto"/>
        <w:contextualSpacing/>
        <w:rPr>
          <w:rFonts w:eastAsiaTheme="minorHAnsi" w:cstheme="minorBidi"/>
          <w:szCs w:val="22"/>
          <w:lang w:val="fr-CA"/>
        </w:rPr>
      </w:pPr>
      <w:r w:rsidRPr="00884978">
        <w:rPr>
          <w:rFonts w:eastAsiaTheme="minorHAnsi" w:cstheme="minorBidi"/>
          <w:szCs w:val="22"/>
          <w:lang w:val="fr-CA"/>
        </w:rPr>
        <w:t>une inspection détaillée ou un examen technique de la structure, de la toiture ou des systèmes mécaniques;</w:t>
      </w:r>
    </w:p>
    <w:p w:rsidR="00990BBC" w:rsidRPr="00884978" w:rsidRDefault="00990BBC" w:rsidP="00990BBC">
      <w:pPr>
        <w:numPr>
          <w:ilvl w:val="0"/>
          <w:numId w:val="4"/>
        </w:numPr>
        <w:spacing w:before="0" w:after="160" w:line="259" w:lineRule="auto"/>
        <w:contextualSpacing/>
        <w:rPr>
          <w:rFonts w:eastAsiaTheme="minorHAnsi" w:cstheme="minorBidi"/>
          <w:szCs w:val="22"/>
          <w:lang w:val="fr-CA"/>
        </w:rPr>
      </w:pPr>
      <w:r w:rsidRPr="00884978">
        <w:rPr>
          <w:rFonts w:eastAsiaTheme="minorHAnsi" w:cstheme="minorBidi"/>
          <w:szCs w:val="22"/>
          <w:lang w:val="fr-CA"/>
        </w:rPr>
        <w:t>un examen environnemental du bien;</w:t>
      </w:r>
    </w:p>
    <w:p w:rsidR="00990BBC" w:rsidRPr="00884978" w:rsidRDefault="00990BBC" w:rsidP="00990BBC">
      <w:pPr>
        <w:numPr>
          <w:ilvl w:val="0"/>
          <w:numId w:val="4"/>
        </w:numPr>
        <w:spacing w:before="0" w:after="160" w:line="259" w:lineRule="auto"/>
        <w:contextualSpacing/>
        <w:rPr>
          <w:rFonts w:eastAsiaTheme="minorHAnsi" w:cstheme="minorBidi"/>
          <w:szCs w:val="22"/>
          <w:lang w:val="fr-CA"/>
        </w:rPr>
      </w:pPr>
      <w:r w:rsidRPr="00884978">
        <w:rPr>
          <w:rFonts w:eastAsiaTheme="minorHAnsi" w:cstheme="minorBidi"/>
          <w:szCs w:val="22"/>
          <w:lang w:val="fr-CA"/>
        </w:rPr>
        <w:t>une étude du site ou de l’immeuble;</w:t>
      </w:r>
    </w:p>
    <w:p w:rsidR="00990BBC" w:rsidRPr="00884978" w:rsidRDefault="00990BBC" w:rsidP="00990BBC">
      <w:pPr>
        <w:numPr>
          <w:ilvl w:val="0"/>
          <w:numId w:val="4"/>
        </w:numPr>
        <w:spacing w:before="0" w:after="160" w:line="259" w:lineRule="auto"/>
        <w:contextualSpacing/>
        <w:rPr>
          <w:rFonts w:eastAsiaTheme="minorHAnsi" w:cstheme="minorBidi"/>
          <w:szCs w:val="22"/>
          <w:lang w:val="fr-CA"/>
        </w:rPr>
      </w:pPr>
      <w:r w:rsidRPr="00884978">
        <w:rPr>
          <w:rFonts w:eastAsiaTheme="minorHAnsi" w:cstheme="minorBidi"/>
          <w:szCs w:val="22"/>
          <w:lang w:val="fr-CA"/>
        </w:rPr>
        <w:t>une étude sur les qualités portantes des sols; ou</w:t>
      </w:r>
    </w:p>
    <w:p w:rsidR="00990BBC" w:rsidRPr="00884978" w:rsidRDefault="00990BBC" w:rsidP="00990BBC">
      <w:pPr>
        <w:numPr>
          <w:ilvl w:val="0"/>
          <w:numId w:val="4"/>
        </w:numPr>
        <w:spacing w:before="0" w:after="160" w:line="259" w:lineRule="auto"/>
        <w:contextualSpacing/>
        <w:rPr>
          <w:rFonts w:eastAsiaTheme="minorHAnsi" w:cstheme="minorBidi"/>
          <w:szCs w:val="22"/>
          <w:lang w:val="fr-CA"/>
        </w:rPr>
      </w:pPr>
      <w:r w:rsidRPr="00884978">
        <w:rPr>
          <w:rFonts w:eastAsiaTheme="minorHAnsi" w:cstheme="minorBidi"/>
          <w:szCs w:val="22"/>
          <w:lang w:val="fr-CA"/>
        </w:rPr>
        <w:t>une vérification des accords financiers et juridiques déclarés par (nom) en ce qui concerne les baux.</w:t>
      </w:r>
    </w:p>
    <w:p w:rsidR="00A61924" w:rsidRPr="00990BBC" w:rsidRDefault="00990BBC" w:rsidP="00AF0803">
      <w:pPr>
        <w:ind w:left="0"/>
      </w:pPr>
      <w:r w:rsidRPr="00884978">
        <w:rPr>
          <w:rFonts w:eastAsiaTheme="minorHAnsi" w:cstheme="minorBidi"/>
          <w:b/>
          <w:szCs w:val="22"/>
          <w:lang w:val="fr-CA"/>
        </w:rPr>
        <w:t>Vérification des renseignements fournis par un tiers</w:t>
      </w:r>
      <w:r w:rsidRPr="00884978">
        <w:rPr>
          <w:rFonts w:eastAsiaTheme="minorHAnsi" w:cstheme="minorBidi"/>
          <w:szCs w:val="22"/>
          <w:lang w:val="fr-CA"/>
        </w:rPr>
        <w:t xml:space="preserve"> : l’analyse présentée dans ce rapport repose sur les renseignements écrits et verbaux obtenus auprès de différentes sources qui nous semblent fiables. Sauf indication contraire dans les présentes, nous n’avons pas vérifié les renseignements fournis par le client, que nous croyons exacts. Le contrat de service d’évaluation ne consistait pas à préparer un rapport selon les normes applicables pour les besoins des tribunaux ou pour un arbitrage; c’est pourquoi nous n’avons pas décrit ni confirmé intégralement, par référence aux sources principales, tous les renseignements faisant l’objet de ce rapport.</w:t>
      </w:r>
      <w:bookmarkStart w:id="1" w:name="_GoBack"/>
      <w:bookmarkEnd w:id="1"/>
    </w:p>
    <w:sectPr w:rsidR="00A61924" w:rsidRPr="00990BBC" w:rsidSect="00AF0803">
      <w:headerReference w:type="default" r:id="rId7"/>
      <w:footerReference w:type="default" r:id="rId8"/>
      <w:type w:val="continuous"/>
      <w:pgSz w:w="12240" w:h="15840"/>
      <w:pgMar w:top="1500" w:right="1440" w:bottom="1440" w:left="144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B71" w:rsidRDefault="00661B71" w:rsidP="00661B71">
      <w:pPr>
        <w:spacing w:after="0" w:line="240" w:lineRule="auto"/>
      </w:pPr>
      <w:r>
        <w:separator/>
      </w:r>
    </w:p>
  </w:endnote>
  <w:endnote w:type="continuationSeparator" w:id="0">
    <w:p w:rsidR="00661B71" w:rsidRDefault="00661B71" w:rsidP="00661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B71" w:rsidRPr="00661B71" w:rsidRDefault="00661B71" w:rsidP="00661B71">
    <w:pPr>
      <w:pStyle w:val="Footer"/>
      <w:jc w:val="center"/>
      <w:rPr>
        <w:i/>
      </w:rPr>
    </w:pPr>
    <w:r w:rsidRPr="00661B71">
      <w:rPr>
        <w:rFonts w:cstheme="minorHAnsi"/>
        <w:b/>
        <w:i/>
        <w:lang w:val="fr-CA"/>
      </w:rPr>
      <w:t>Institut canadien des évaluateurs  ©  En vigueur le 1</w:t>
    </w:r>
    <w:r w:rsidRPr="00661B71">
      <w:rPr>
        <w:rFonts w:cstheme="minorHAnsi"/>
        <w:b/>
        <w:i/>
        <w:vertAlign w:val="superscript"/>
        <w:lang w:val="fr-CA"/>
      </w:rPr>
      <w:t>re</w:t>
    </w:r>
    <w:r w:rsidRPr="00661B71">
      <w:rPr>
        <w:rFonts w:cstheme="minorHAnsi"/>
        <w:b/>
        <w:i/>
        <w:lang w:val="fr-CA"/>
      </w:rPr>
      <w:t xml:space="preserve"> janvier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B71" w:rsidRDefault="00661B71" w:rsidP="00661B71">
      <w:pPr>
        <w:spacing w:after="0" w:line="240" w:lineRule="auto"/>
      </w:pPr>
      <w:r>
        <w:separator/>
      </w:r>
    </w:p>
  </w:footnote>
  <w:footnote w:type="continuationSeparator" w:id="0">
    <w:p w:rsidR="00661B71" w:rsidRDefault="00661B71" w:rsidP="00661B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B71" w:rsidRDefault="00661B71" w:rsidP="00661B71">
    <w:pPr>
      <w:pStyle w:val="Header"/>
      <w:jc w:val="center"/>
    </w:pPr>
    <w:r>
      <w:rPr>
        <w:b/>
        <w:noProof/>
      </w:rPr>
      <w:drawing>
        <wp:inline distT="0" distB="0" distL="0" distR="0" wp14:anchorId="1FBC5A7D" wp14:editId="17E84275">
          <wp:extent cx="2190750" cy="455002"/>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IC_BI_E_hor_3c_RGB.jpg"/>
                  <pic:cNvPicPr/>
                </pic:nvPicPr>
                <pic:blipFill>
                  <a:blip r:embed="rId1">
                    <a:extLst>
                      <a:ext uri="{28A0092B-C50C-407E-A947-70E740481C1C}">
                        <a14:useLocalDpi xmlns:a14="http://schemas.microsoft.com/office/drawing/2010/main" val="0"/>
                      </a:ext>
                    </a:extLst>
                  </a:blip>
                  <a:stretch>
                    <a:fillRect/>
                  </a:stretch>
                </pic:blipFill>
                <pic:spPr>
                  <a:xfrm>
                    <a:off x="0" y="0"/>
                    <a:ext cx="2241984" cy="465643"/>
                  </a:xfrm>
                  <a:prstGeom prst="rect">
                    <a:avLst/>
                  </a:prstGeom>
                </pic:spPr>
              </pic:pic>
            </a:graphicData>
          </a:graphic>
        </wp:inline>
      </w:drawing>
    </w:r>
  </w:p>
  <w:p w:rsidR="00661B71" w:rsidRPr="00AF0803" w:rsidRDefault="00661B71" w:rsidP="00661B71">
    <w:pPr>
      <w:pStyle w:val="Heading1"/>
      <w:spacing w:before="0" w:line="240" w:lineRule="auto"/>
      <w:ind w:left="0"/>
      <w:rPr>
        <w:sz w:val="18"/>
        <w:lang w:val="fr-CA"/>
      </w:rPr>
    </w:pPr>
    <w:bookmarkStart w:id="2" w:name="_Toc500844202"/>
  </w:p>
  <w:p w:rsidR="00661B71" w:rsidRPr="00661B71" w:rsidRDefault="00661B71" w:rsidP="00661B71">
    <w:pPr>
      <w:pStyle w:val="Heading1"/>
      <w:spacing w:before="0" w:line="240" w:lineRule="auto"/>
      <w:ind w:left="0"/>
      <w:rPr>
        <w:sz w:val="28"/>
        <w:szCs w:val="28"/>
        <w:lang w:val="fr-CA"/>
      </w:rPr>
    </w:pPr>
    <w:r w:rsidRPr="00661B71">
      <w:rPr>
        <w:sz w:val="28"/>
        <w:szCs w:val="28"/>
        <w:lang w:val="fr-CA"/>
      </w:rPr>
      <w:t xml:space="preserve">NUPPEC 2018 - </w:t>
    </w:r>
    <w:r w:rsidR="005B7203">
      <w:rPr>
        <w:sz w:val="28"/>
        <w:szCs w:val="28"/>
        <w:lang w:val="fr-CA"/>
      </w:rPr>
      <w:t>G</w:t>
    </w:r>
    <w:r w:rsidR="00E472E2">
      <w:rPr>
        <w:sz w:val="28"/>
        <w:szCs w:val="28"/>
        <w:lang w:val="fr-CA"/>
      </w:rPr>
      <w:t>ABARIS</w:t>
    </w:r>
  </w:p>
  <w:bookmarkEnd w:i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C3CD8"/>
    <w:multiLevelType w:val="hybridMultilevel"/>
    <w:tmpl w:val="D9BA72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35706B6"/>
    <w:multiLevelType w:val="hybridMultilevel"/>
    <w:tmpl w:val="55528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7D77A3F"/>
    <w:multiLevelType w:val="hybridMultilevel"/>
    <w:tmpl w:val="04CA3902"/>
    <w:lvl w:ilvl="0" w:tplc="8056FE5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21448D2"/>
    <w:multiLevelType w:val="hybridMultilevel"/>
    <w:tmpl w:val="6F64DC4A"/>
    <w:lvl w:ilvl="0" w:tplc="E1DC4286">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A5"/>
    <w:rsid w:val="004B2D7E"/>
    <w:rsid w:val="005B7203"/>
    <w:rsid w:val="00661B71"/>
    <w:rsid w:val="00744857"/>
    <w:rsid w:val="00990BBC"/>
    <w:rsid w:val="00A61924"/>
    <w:rsid w:val="00AF0803"/>
    <w:rsid w:val="00E472E2"/>
    <w:rsid w:val="00FD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3B95BA-A325-4BF1-BC8D-DD9905DF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BBC"/>
    <w:pPr>
      <w:spacing w:before="120" w:after="120" w:line="320" w:lineRule="exact"/>
      <w:ind w:left="720"/>
    </w:pPr>
    <w:rPr>
      <w:rFonts w:eastAsia="Times New Roman" w:cs="Times New Roman"/>
      <w:sz w:val="24"/>
      <w:szCs w:val="24"/>
    </w:rPr>
  </w:style>
  <w:style w:type="paragraph" w:styleId="Heading1">
    <w:name w:val="heading 1"/>
    <w:basedOn w:val="Normal"/>
    <w:next w:val="Normal"/>
    <w:link w:val="Heading1Char"/>
    <w:qFormat/>
    <w:rsid w:val="00661B71"/>
    <w:pPr>
      <w:keepNext/>
      <w:keepLines/>
      <w:spacing w:before="240" w:after="0"/>
      <w:jc w:val="center"/>
      <w:outlineLvl w:val="0"/>
    </w:pPr>
    <w:rPr>
      <w:rFonts w:cstheme="minorHAnsi"/>
      <w:b/>
      <w:sz w:val="32"/>
      <w:szCs w:val="3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857"/>
    <w:pPr>
      <w:contextualSpacing/>
    </w:pPr>
  </w:style>
  <w:style w:type="paragraph" w:styleId="Header">
    <w:name w:val="header"/>
    <w:basedOn w:val="Normal"/>
    <w:link w:val="HeaderChar"/>
    <w:uiPriority w:val="99"/>
    <w:unhideWhenUsed/>
    <w:rsid w:val="00661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B71"/>
  </w:style>
  <w:style w:type="paragraph" w:styleId="Footer">
    <w:name w:val="footer"/>
    <w:basedOn w:val="Normal"/>
    <w:link w:val="FooterChar"/>
    <w:uiPriority w:val="99"/>
    <w:unhideWhenUsed/>
    <w:rsid w:val="00661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B71"/>
  </w:style>
  <w:style w:type="character" w:customStyle="1" w:styleId="Heading1Char">
    <w:name w:val="Heading 1 Char"/>
    <w:basedOn w:val="DefaultParagraphFont"/>
    <w:link w:val="Heading1"/>
    <w:rsid w:val="00661B71"/>
    <w:rPr>
      <w:rFonts w:cstheme="minorHAnsi"/>
      <w:b/>
      <w:sz w:val="32"/>
      <w:szCs w:val="3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5372">
      <w:bodyDiv w:val="1"/>
      <w:marLeft w:val="0"/>
      <w:marRight w:val="0"/>
      <w:marTop w:val="0"/>
      <w:marBottom w:val="0"/>
      <w:divBdr>
        <w:top w:val="none" w:sz="0" w:space="0" w:color="auto"/>
        <w:left w:val="none" w:sz="0" w:space="0" w:color="auto"/>
        <w:bottom w:val="none" w:sz="0" w:space="0" w:color="auto"/>
        <w:right w:val="none" w:sz="0" w:space="0" w:color="auto"/>
      </w:divBdr>
    </w:div>
    <w:div w:id="189345347">
      <w:bodyDiv w:val="1"/>
      <w:marLeft w:val="0"/>
      <w:marRight w:val="0"/>
      <w:marTop w:val="0"/>
      <w:marBottom w:val="0"/>
      <w:divBdr>
        <w:top w:val="none" w:sz="0" w:space="0" w:color="auto"/>
        <w:left w:val="none" w:sz="0" w:space="0" w:color="auto"/>
        <w:bottom w:val="none" w:sz="0" w:space="0" w:color="auto"/>
        <w:right w:val="none" w:sz="0" w:space="0" w:color="auto"/>
      </w:divBdr>
    </w:div>
    <w:div w:id="309751694">
      <w:bodyDiv w:val="1"/>
      <w:marLeft w:val="0"/>
      <w:marRight w:val="0"/>
      <w:marTop w:val="0"/>
      <w:marBottom w:val="0"/>
      <w:divBdr>
        <w:top w:val="none" w:sz="0" w:space="0" w:color="auto"/>
        <w:left w:val="none" w:sz="0" w:space="0" w:color="auto"/>
        <w:bottom w:val="none" w:sz="0" w:space="0" w:color="auto"/>
        <w:right w:val="none" w:sz="0" w:space="0" w:color="auto"/>
      </w:divBdr>
    </w:div>
    <w:div w:id="339890562">
      <w:bodyDiv w:val="1"/>
      <w:marLeft w:val="0"/>
      <w:marRight w:val="0"/>
      <w:marTop w:val="0"/>
      <w:marBottom w:val="0"/>
      <w:divBdr>
        <w:top w:val="none" w:sz="0" w:space="0" w:color="auto"/>
        <w:left w:val="none" w:sz="0" w:space="0" w:color="auto"/>
        <w:bottom w:val="none" w:sz="0" w:space="0" w:color="auto"/>
        <w:right w:val="none" w:sz="0" w:space="0" w:color="auto"/>
      </w:divBdr>
    </w:div>
    <w:div w:id="421873553">
      <w:bodyDiv w:val="1"/>
      <w:marLeft w:val="0"/>
      <w:marRight w:val="0"/>
      <w:marTop w:val="0"/>
      <w:marBottom w:val="0"/>
      <w:divBdr>
        <w:top w:val="none" w:sz="0" w:space="0" w:color="auto"/>
        <w:left w:val="none" w:sz="0" w:space="0" w:color="auto"/>
        <w:bottom w:val="none" w:sz="0" w:space="0" w:color="auto"/>
        <w:right w:val="none" w:sz="0" w:space="0" w:color="auto"/>
      </w:divBdr>
    </w:div>
    <w:div w:id="439641259">
      <w:bodyDiv w:val="1"/>
      <w:marLeft w:val="0"/>
      <w:marRight w:val="0"/>
      <w:marTop w:val="0"/>
      <w:marBottom w:val="0"/>
      <w:divBdr>
        <w:top w:val="none" w:sz="0" w:space="0" w:color="auto"/>
        <w:left w:val="none" w:sz="0" w:space="0" w:color="auto"/>
        <w:bottom w:val="none" w:sz="0" w:space="0" w:color="auto"/>
        <w:right w:val="none" w:sz="0" w:space="0" w:color="auto"/>
      </w:divBdr>
    </w:div>
    <w:div w:id="591400014">
      <w:bodyDiv w:val="1"/>
      <w:marLeft w:val="0"/>
      <w:marRight w:val="0"/>
      <w:marTop w:val="0"/>
      <w:marBottom w:val="0"/>
      <w:divBdr>
        <w:top w:val="none" w:sz="0" w:space="0" w:color="auto"/>
        <w:left w:val="none" w:sz="0" w:space="0" w:color="auto"/>
        <w:bottom w:val="none" w:sz="0" w:space="0" w:color="auto"/>
        <w:right w:val="none" w:sz="0" w:space="0" w:color="auto"/>
      </w:divBdr>
    </w:div>
    <w:div w:id="674962004">
      <w:bodyDiv w:val="1"/>
      <w:marLeft w:val="0"/>
      <w:marRight w:val="0"/>
      <w:marTop w:val="0"/>
      <w:marBottom w:val="0"/>
      <w:divBdr>
        <w:top w:val="none" w:sz="0" w:space="0" w:color="auto"/>
        <w:left w:val="none" w:sz="0" w:space="0" w:color="auto"/>
        <w:bottom w:val="none" w:sz="0" w:space="0" w:color="auto"/>
        <w:right w:val="none" w:sz="0" w:space="0" w:color="auto"/>
      </w:divBdr>
    </w:div>
    <w:div w:id="697003931">
      <w:bodyDiv w:val="1"/>
      <w:marLeft w:val="0"/>
      <w:marRight w:val="0"/>
      <w:marTop w:val="0"/>
      <w:marBottom w:val="0"/>
      <w:divBdr>
        <w:top w:val="none" w:sz="0" w:space="0" w:color="auto"/>
        <w:left w:val="none" w:sz="0" w:space="0" w:color="auto"/>
        <w:bottom w:val="none" w:sz="0" w:space="0" w:color="auto"/>
        <w:right w:val="none" w:sz="0" w:space="0" w:color="auto"/>
      </w:divBdr>
    </w:div>
    <w:div w:id="988899030">
      <w:bodyDiv w:val="1"/>
      <w:marLeft w:val="0"/>
      <w:marRight w:val="0"/>
      <w:marTop w:val="0"/>
      <w:marBottom w:val="0"/>
      <w:divBdr>
        <w:top w:val="none" w:sz="0" w:space="0" w:color="auto"/>
        <w:left w:val="none" w:sz="0" w:space="0" w:color="auto"/>
        <w:bottom w:val="none" w:sz="0" w:space="0" w:color="auto"/>
        <w:right w:val="none" w:sz="0" w:space="0" w:color="auto"/>
      </w:divBdr>
    </w:div>
    <w:div w:id="1082531167">
      <w:bodyDiv w:val="1"/>
      <w:marLeft w:val="0"/>
      <w:marRight w:val="0"/>
      <w:marTop w:val="0"/>
      <w:marBottom w:val="0"/>
      <w:divBdr>
        <w:top w:val="none" w:sz="0" w:space="0" w:color="auto"/>
        <w:left w:val="none" w:sz="0" w:space="0" w:color="auto"/>
        <w:bottom w:val="none" w:sz="0" w:space="0" w:color="auto"/>
        <w:right w:val="none" w:sz="0" w:space="0" w:color="auto"/>
      </w:divBdr>
    </w:div>
    <w:div w:id="1134446621">
      <w:bodyDiv w:val="1"/>
      <w:marLeft w:val="0"/>
      <w:marRight w:val="0"/>
      <w:marTop w:val="0"/>
      <w:marBottom w:val="0"/>
      <w:divBdr>
        <w:top w:val="none" w:sz="0" w:space="0" w:color="auto"/>
        <w:left w:val="none" w:sz="0" w:space="0" w:color="auto"/>
        <w:bottom w:val="none" w:sz="0" w:space="0" w:color="auto"/>
        <w:right w:val="none" w:sz="0" w:space="0" w:color="auto"/>
      </w:divBdr>
    </w:div>
    <w:div w:id="1361274761">
      <w:bodyDiv w:val="1"/>
      <w:marLeft w:val="0"/>
      <w:marRight w:val="0"/>
      <w:marTop w:val="0"/>
      <w:marBottom w:val="0"/>
      <w:divBdr>
        <w:top w:val="none" w:sz="0" w:space="0" w:color="auto"/>
        <w:left w:val="none" w:sz="0" w:space="0" w:color="auto"/>
        <w:bottom w:val="none" w:sz="0" w:space="0" w:color="auto"/>
        <w:right w:val="none" w:sz="0" w:space="0" w:color="auto"/>
      </w:divBdr>
    </w:div>
    <w:div w:id="1361855221">
      <w:bodyDiv w:val="1"/>
      <w:marLeft w:val="0"/>
      <w:marRight w:val="0"/>
      <w:marTop w:val="0"/>
      <w:marBottom w:val="0"/>
      <w:divBdr>
        <w:top w:val="none" w:sz="0" w:space="0" w:color="auto"/>
        <w:left w:val="none" w:sz="0" w:space="0" w:color="auto"/>
        <w:bottom w:val="none" w:sz="0" w:space="0" w:color="auto"/>
        <w:right w:val="none" w:sz="0" w:space="0" w:color="auto"/>
      </w:divBdr>
    </w:div>
    <w:div w:id="1547452865">
      <w:bodyDiv w:val="1"/>
      <w:marLeft w:val="0"/>
      <w:marRight w:val="0"/>
      <w:marTop w:val="0"/>
      <w:marBottom w:val="0"/>
      <w:divBdr>
        <w:top w:val="none" w:sz="0" w:space="0" w:color="auto"/>
        <w:left w:val="none" w:sz="0" w:space="0" w:color="auto"/>
        <w:bottom w:val="none" w:sz="0" w:space="0" w:color="auto"/>
        <w:right w:val="none" w:sz="0" w:space="0" w:color="auto"/>
      </w:divBdr>
    </w:div>
    <w:div w:id="1675254937">
      <w:bodyDiv w:val="1"/>
      <w:marLeft w:val="0"/>
      <w:marRight w:val="0"/>
      <w:marTop w:val="0"/>
      <w:marBottom w:val="0"/>
      <w:divBdr>
        <w:top w:val="none" w:sz="0" w:space="0" w:color="auto"/>
        <w:left w:val="none" w:sz="0" w:space="0" w:color="auto"/>
        <w:bottom w:val="none" w:sz="0" w:space="0" w:color="auto"/>
        <w:right w:val="none" w:sz="0" w:space="0" w:color="auto"/>
      </w:divBdr>
    </w:div>
    <w:div w:id="1717703878">
      <w:bodyDiv w:val="1"/>
      <w:marLeft w:val="0"/>
      <w:marRight w:val="0"/>
      <w:marTop w:val="0"/>
      <w:marBottom w:val="0"/>
      <w:divBdr>
        <w:top w:val="none" w:sz="0" w:space="0" w:color="auto"/>
        <w:left w:val="none" w:sz="0" w:space="0" w:color="auto"/>
        <w:bottom w:val="none" w:sz="0" w:space="0" w:color="auto"/>
        <w:right w:val="none" w:sz="0" w:space="0" w:color="auto"/>
      </w:divBdr>
    </w:div>
    <w:div w:id="1887064137">
      <w:bodyDiv w:val="1"/>
      <w:marLeft w:val="0"/>
      <w:marRight w:val="0"/>
      <w:marTop w:val="0"/>
      <w:marBottom w:val="0"/>
      <w:divBdr>
        <w:top w:val="none" w:sz="0" w:space="0" w:color="auto"/>
        <w:left w:val="none" w:sz="0" w:space="0" w:color="auto"/>
        <w:bottom w:val="none" w:sz="0" w:space="0" w:color="auto"/>
        <w:right w:val="none" w:sz="0" w:space="0" w:color="auto"/>
      </w:divBdr>
    </w:div>
    <w:div w:id="1966428597">
      <w:bodyDiv w:val="1"/>
      <w:marLeft w:val="0"/>
      <w:marRight w:val="0"/>
      <w:marTop w:val="0"/>
      <w:marBottom w:val="0"/>
      <w:divBdr>
        <w:top w:val="none" w:sz="0" w:space="0" w:color="auto"/>
        <w:left w:val="none" w:sz="0" w:space="0" w:color="auto"/>
        <w:bottom w:val="none" w:sz="0" w:space="0" w:color="auto"/>
        <w:right w:val="none" w:sz="0" w:space="0" w:color="auto"/>
      </w:divBdr>
    </w:div>
    <w:div w:id="201700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Poirier</dc:creator>
  <cp:keywords/>
  <dc:description/>
  <cp:lastModifiedBy>Sheila Roy</cp:lastModifiedBy>
  <cp:revision>3</cp:revision>
  <dcterms:created xsi:type="dcterms:W3CDTF">2017-12-14T19:05:00Z</dcterms:created>
  <dcterms:modified xsi:type="dcterms:W3CDTF">2017-12-14T19:07:00Z</dcterms:modified>
</cp:coreProperties>
</file>