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2C888" w14:textId="77777777" w:rsidR="00006992" w:rsidRDefault="00006992" w:rsidP="00C95BA9">
      <w:pPr>
        <w:pStyle w:val="TOCHeading"/>
        <w:spacing w:line="240" w:lineRule="auto"/>
        <w:rPr>
          <w:rStyle w:val="IntenseEmphasis"/>
          <w:b w:val="0"/>
          <w:i w:val="0"/>
          <w:color w:val="004990"/>
        </w:rPr>
      </w:pPr>
    </w:p>
    <w:p w14:paraId="6113C3EC" w14:textId="77777777" w:rsidR="00006992" w:rsidRDefault="00006992" w:rsidP="00C95BA9">
      <w:pPr>
        <w:pStyle w:val="TOCHeading"/>
        <w:spacing w:line="240" w:lineRule="auto"/>
        <w:rPr>
          <w:rStyle w:val="IntenseEmphasis"/>
          <w:i w:val="0"/>
          <w:color w:val="004990"/>
        </w:rPr>
      </w:pPr>
    </w:p>
    <w:p w14:paraId="6E345664" w14:textId="13064296" w:rsidR="00006992" w:rsidRPr="006A3D41" w:rsidRDefault="00006992" w:rsidP="00C95BA9">
      <w:pPr>
        <w:pStyle w:val="TOCHeading"/>
        <w:spacing w:line="240" w:lineRule="auto"/>
        <w:rPr>
          <w:rStyle w:val="IntenseEmphasis"/>
          <w:i w:val="0"/>
          <w:color w:val="004990"/>
        </w:rPr>
      </w:pPr>
      <w:r w:rsidRPr="006A3D41">
        <w:rPr>
          <w:rStyle w:val="IntenseEmphasis"/>
          <w:i w:val="0"/>
          <w:color w:val="004990"/>
        </w:rPr>
        <w:t>Work Product Review Report on:</w:t>
      </w:r>
    </w:p>
    <w:p w14:paraId="13E5063F" w14:textId="68E32ED7" w:rsidR="00006992" w:rsidRPr="006A3D41" w:rsidRDefault="00006992" w:rsidP="00C95BA9">
      <w:pPr>
        <w:pStyle w:val="TOCHeading"/>
        <w:spacing w:line="240" w:lineRule="auto"/>
        <w:rPr>
          <w:rStyle w:val="IntenseEmphasis"/>
          <w:i w:val="0"/>
          <w:color w:val="004990"/>
        </w:rPr>
      </w:pPr>
      <w:r w:rsidRPr="006A3D41">
        <w:rPr>
          <w:rStyle w:val="IntenseEmphasis"/>
          <w:i w:val="0"/>
          <w:color w:val="004990"/>
        </w:rPr>
        <w:t>Common Issues in Form Reporting</w:t>
      </w:r>
    </w:p>
    <w:p w14:paraId="6B52D938" w14:textId="77777777" w:rsidR="00006992" w:rsidRDefault="00006992" w:rsidP="00C95BA9">
      <w:pPr>
        <w:spacing w:before="0" w:after="160" w:line="240" w:lineRule="auto"/>
        <w:ind w:left="0"/>
        <w:rPr>
          <w:rFonts w:asciiTheme="majorHAnsi" w:hAnsiTheme="majorHAnsi" w:cstheme="majorBidi"/>
          <w:sz w:val="24"/>
          <w:szCs w:val="24"/>
        </w:rPr>
      </w:pPr>
      <w:r>
        <w:rPr>
          <w:sz w:val="24"/>
          <w:szCs w:val="24"/>
        </w:rPr>
        <w:br w:type="page"/>
      </w:r>
    </w:p>
    <w:sdt>
      <w:sdtPr>
        <w:rPr>
          <w:rFonts w:asciiTheme="minorHAnsi" w:eastAsia="Times New Roman" w:hAnsiTheme="minorHAnsi" w:cstheme="minorHAnsi"/>
          <w:b w:val="0"/>
          <w:color w:val="auto"/>
          <w:sz w:val="24"/>
          <w:szCs w:val="24"/>
          <w:lang w:eastAsia="en-CA"/>
        </w:rPr>
        <w:id w:val="1793244426"/>
        <w:docPartObj>
          <w:docPartGallery w:val="Table of Contents"/>
          <w:docPartUnique/>
        </w:docPartObj>
      </w:sdtPr>
      <w:sdtEndPr>
        <w:rPr>
          <w:noProof/>
          <w:sz w:val="22"/>
          <w:szCs w:val="22"/>
        </w:rPr>
      </w:sdtEndPr>
      <w:sdtContent>
        <w:p w14:paraId="2936ECFA" w14:textId="36C551A4" w:rsidR="00080CED" w:rsidRPr="00615BA5" w:rsidRDefault="002574A5" w:rsidP="00C95BA9">
          <w:pPr>
            <w:pStyle w:val="TOCHeading"/>
            <w:spacing w:line="240" w:lineRule="auto"/>
          </w:pPr>
          <w:r w:rsidRPr="00615BA5">
            <w:t>C</w:t>
          </w:r>
          <w:r w:rsidR="00080CED" w:rsidRPr="00615BA5">
            <w:t>ontents</w:t>
          </w:r>
        </w:p>
        <w:p w14:paraId="3DBC73E2" w14:textId="77777777" w:rsidR="00C95BA9" w:rsidRDefault="00080CED" w:rsidP="00C95BA9">
          <w:pPr>
            <w:pStyle w:val="TOC1"/>
            <w:tabs>
              <w:tab w:val="right" w:pos="9350"/>
            </w:tabs>
            <w:spacing w:line="240" w:lineRule="auto"/>
            <w:rPr>
              <w:rFonts w:eastAsiaTheme="minorEastAsia" w:cstheme="minorBidi"/>
              <w:noProof/>
              <w:lang w:val="en-CA"/>
            </w:rPr>
          </w:pPr>
          <w:r w:rsidRPr="00615BA5">
            <w:rPr>
              <w:b/>
              <w:bCs/>
              <w:noProof/>
            </w:rPr>
            <w:fldChar w:fldCharType="begin"/>
          </w:r>
          <w:r w:rsidRPr="00615BA5">
            <w:rPr>
              <w:b/>
              <w:bCs/>
              <w:noProof/>
            </w:rPr>
            <w:instrText xml:space="preserve"> TOC \o "1-3" \h \z \u </w:instrText>
          </w:r>
          <w:r w:rsidRPr="00615BA5">
            <w:rPr>
              <w:b/>
              <w:bCs/>
              <w:noProof/>
            </w:rPr>
            <w:fldChar w:fldCharType="separate"/>
          </w:r>
          <w:hyperlink w:anchor="_Toc536628923" w:history="1">
            <w:r w:rsidR="00C95BA9" w:rsidRPr="009825AC">
              <w:rPr>
                <w:rStyle w:val="Hyperlink"/>
                <w:noProof/>
              </w:rPr>
              <w:t>Introduction</w:t>
            </w:r>
            <w:r w:rsidR="00C95BA9">
              <w:rPr>
                <w:noProof/>
                <w:webHidden/>
              </w:rPr>
              <w:tab/>
            </w:r>
            <w:r w:rsidR="00C95BA9">
              <w:rPr>
                <w:noProof/>
                <w:webHidden/>
              </w:rPr>
              <w:fldChar w:fldCharType="begin"/>
            </w:r>
            <w:r w:rsidR="00C95BA9">
              <w:rPr>
                <w:noProof/>
                <w:webHidden/>
              </w:rPr>
              <w:instrText xml:space="preserve"> PAGEREF _Toc536628923 \h </w:instrText>
            </w:r>
            <w:r w:rsidR="00C95BA9">
              <w:rPr>
                <w:noProof/>
                <w:webHidden/>
              </w:rPr>
            </w:r>
            <w:r w:rsidR="00C95BA9">
              <w:rPr>
                <w:noProof/>
                <w:webHidden/>
              </w:rPr>
              <w:fldChar w:fldCharType="separate"/>
            </w:r>
            <w:r w:rsidR="00C95BA9">
              <w:rPr>
                <w:noProof/>
                <w:webHidden/>
              </w:rPr>
              <w:t>3</w:t>
            </w:r>
            <w:r w:rsidR="00C95BA9">
              <w:rPr>
                <w:noProof/>
                <w:webHidden/>
              </w:rPr>
              <w:fldChar w:fldCharType="end"/>
            </w:r>
          </w:hyperlink>
        </w:p>
        <w:p w14:paraId="01B67E0C" w14:textId="77777777" w:rsidR="00C95BA9" w:rsidRDefault="003E40F0" w:rsidP="00C95BA9">
          <w:pPr>
            <w:pStyle w:val="TOC1"/>
            <w:tabs>
              <w:tab w:val="right" w:pos="9350"/>
            </w:tabs>
            <w:spacing w:line="240" w:lineRule="auto"/>
            <w:rPr>
              <w:rFonts w:eastAsiaTheme="minorEastAsia" w:cstheme="minorBidi"/>
              <w:noProof/>
              <w:lang w:val="en-CA"/>
            </w:rPr>
          </w:pPr>
          <w:hyperlink w:anchor="_Toc536628924" w:history="1">
            <w:r w:rsidR="00C95BA9" w:rsidRPr="009825AC">
              <w:rPr>
                <w:rStyle w:val="Hyperlink"/>
                <w:noProof/>
              </w:rPr>
              <w:t>6.2.1. Client and Intended User</w:t>
            </w:r>
            <w:r w:rsidR="00C95BA9">
              <w:rPr>
                <w:noProof/>
                <w:webHidden/>
              </w:rPr>
              <w:tab/>
            </w:r>
            <w:r w:rsidR="00C95BA9">
              <w:rPr>
                <w:noProof/>
                <w:webHidden/>
              </w:rPr>
              <w:fldChar w:fldCharType="begin"/>
            </w:r>
            <w:r w:rsidR="00C95BA9">
              <w:rPr>
                <w:noProof/>
                <w:webHidden/>
              </w:rPr>
              <w:instrText xml:space="preserve"> PAGEREF _Toc536628924 \h </w:instrText>
            </w:r>
            <w:r w:rsidR="00C95BA9">
              <w:rPr>
                <w:noProof/>
                <w:webHidden/>
              </w:rPr>
            </w:r>
            <w:r w:rsidR="00C95BA9">
              <w:rPr>
                <w:noProof/>
                <w:webHidden/>
              </w:rPr>
              <w:fldChar w:fldCharType="separate"/>
            </w:r>
            <w:r w:rsidR="00C95BA9">
              <w:rPr>
                <w:noProof/>
                <w:webHidden/>
              </w:rPr>
              <w:t>3</w:t>
            </w:r>
            <w:r w:rsidR="00C95BA9">
              <w:rPr>
                <w:noProof/>
                <w:webHidden/>
              </w:rPr>
              <w:fldChar w:fldCharType="end"/>
            </w:r>
          </w:hyperlink>
        </w:p>
        <w:p w14:paraId="510E36C6" w14:textId="77777777" w:rsidR="00C95BA9" w:rsidRDefault="003E40F0" w:rsidP="00C95BA9">
          <w:pPr>
            <w:pStyle w:val="TOC1"/>
            <w:tabs>
              <w:tab w:val="right" w:pos="9350"/>
            </w:tabs>
            <w:spacing w:line="240" w:lineRule="auto"/>
            <w:rPr>
              <w:rFonts w:eastAsiaTheme="minorEastAsia" w:cstheme="minorBidi"/>
              <w:noProof/>
              <w:lang w:val="en-CA"/>
            </w:rPr>
          </w:pPr>
          <w:hyperlink w:anchor="_Toc536628925" w:history="1">
            <w:r w:rsidR="00C95BA9" w:rsidRPr="009825AC">
              <w:rPr>
                <w:rStyle w:val="Hyperlink"/>
                <w:noProof/>
              </w:rPr>
              <w:t>6.2.2. Intended Use</w:t>
            </w:r>
            <w:r w:rsidR="00C95BA9">
              <w:rPr>
                <w:noProof/>
                <w:webHidden/>
              </w:rPr>
              <w:tab/>
            </w:r>
            <w:r w:rsidR="00C95BA9">
              <w:rPr>
                <w:noProof/>
                <w:webHidden/>
              </w:rPr>
              <w:fldChar w:fldCharType="begin"/>
            </w:r>
            <w:r w:rsidR="00C95BA9">
              <w:rPr>
                <w:noProof/>
                <w:webHidden/>
              </w:rPr>
              <w:instrText xml:space="preserve"> PAGEREF _Toc536628925 \h </w:instrText>
            </w:r>
            <w:r w:rsidR="00C95BA9">
              <w:rPr>
                <w:noProof/>
                <w:webHidden/>
              </w:rPr>
            </w:r>
            <w:r w:rsidR="00C95BA9">
              <w:rPr>
                <w:noProof/>
                <w:webHidden/>
              </w:rPr>
              <w:fldChar w:fldCharType="separate"/>
            </w:r>
            <w:r w:rsidR="00C95BA9">
              <w:rPr>
                <w:noProof/>
                <w:webHidden/>
              </w:rPr>
              <w:t>4</w:t>
            </w:r>
            <w:r w:rsidR="00C95BA9">
              <w:rPr>
                <w:noProof/>
                <w:webHidden/>
              </w:rPr>
              <w:fldChar w:fldCharType="end"/>
            </w:r>
          </w:hyperlink>
        </w:p>
        <w:p w14:paraId="29582E6A" w14:textId="77777777" w:rsidR="00C95BA9" w:rsidRDefault="003E40F0" w:rsidP="00C95BA9">
          <w:pPr>
            <w:pStyle w:val="TOC1"/>
            <w:tabs>
              <w:tab w:val="right" w:pos="9350"/>
            </w:tabs>
            <w:spacing w:line="240" w:lineRule="auto"/>
            <w:rPr>
              <w:rFonts w:eastAsiaTheme="minorEastAsia" w:cstheme="minorBidi"/>
              <w:noProof/>
              <w:lang w:val="en-CA"/>
            </w:rPr>
          </w:pPr>
          <w:hyperlink w:anchor="_Toc536628926" w:history="1">
            <w:r w:rsidR="00C95BA9" w:rsidRPr="009825AC">
              <w:rPr>
                <w:rStyle w:val="Hyperlink"/>
                <w:noProof/>
              </w:rPr>
              <w:t>6.2.3. Purpose</w:t>
            </w:r>
            <w:r w:rsidR="00C95BA9">
              <w:rPr>
                <w:noProof/>
                <w:webHidden/>
              </w:rPr>
              <w:tab/>
            </w:r>
            <w:r w:rsidR="00C95BA9">
              <w:rPr>
                <w:noProof/>
                <w:webHidden/>
              </w:rPr>
              <w:fldChar w:fldCharType="begin"/>
            </w:r>
            <w:r w:rsidR="00C95BA9">
              <w:rPr>
                <w:noProof/>
                <w:webHidden/>
              </w:rPr>
              <w:instrText xml:space="preserve"> PAGEREF _Toc536628926 \h </w:instrText>
            </w:r>
            <w:r w:rsidR="00C95BA9">
              <w:rPr>
                <w:noProof/>
                <w:webHidden/>
              </w:rPr>
            </w:r>
            <w:r w:rsidR="00C95BA9">
              <w:rPr>
                <w:noProof/>
                <w:webHidden/>
              </w:rPr>
              <w:fldChar w:fldCharType="separate"/>
            </w:r>
            <w:r w:rsidR="00C95BA9">
              <w:rPr>
                <w:noProof/>
                <w:webHidden/>
              </w:rPr>
              <w:t>4</w:t>
            </w:r>
            <w:r w:rsidR="00C95BA9">
              <w:rPr>
                <w:noProof/>
                <w:webHidden/>
              </w:rPr>
              <w:fldChar w:fldCharType="end"/>
            </w:r>
          </w:hyperlink>
        </w:p>
        <w:p w14:paraId="36F952E1" w14:textId="77777777" w:rsidR="00C95BA9" w:rsidRDefault="003E40F0" w:rsidP="00C95BA9">
          <w:pPr>
            <w:pStyle w:val="TOC1"/>
            <w:tabs>
              <w:tab w:val="right" w:pos="9350"/>
            </w:tabs>
            <w:spacing w:line="240" w:lineRule="auto"/>
            <w:rPr>
              <w:rFonts w:eastAsiaTheme="minorEastAsia" w:cstheme="minorBidi"/>
              <w:noProof/>
              <w:lang w:val="en-CA"/>
            </w:rPr>
          </w:pPr>
          <w:hyperlink w:anchor="_Toc536628927" w:history="1">
            <w:r w:rsidR="00C95BA9" w:rsidRPr="009825AC">
              <w:rPr>
                <w:rStyle w:val="Hyperlink"/>
                <w:noProof/>
              </w:rPr>
              <w:t>6.2.4. Scope</w:t>
            </w:r>
            <w:r w:rsidR="00C95BA9">
              <w:rPr>
                <w:noProof/>
                <w:webHidden/>
              </w:rPr>
              <w:tab/>
            </w:r>
            <w:r w:rsidR="00C95BA9">
              <w:rPr>
                <w:noProof/>
                <w:webHidden/>
              </w:rPr>
              <w:fldChar w:fldCharType="begin"/>
            </w:r>
            <w:r w:rsidR="00C95BA9">
              <w:rPr>
                <w:noProof/>
                <w:webHidden/>
              </w:rPr>
              <w:instrText xml:space="preserve"> PAGEREF _Toc536628927 \h </w:instrText>
            </w:r>
            <w:r w:rsidR="00C95BA9">
              <w:rPr>
                <w:noProof/>
                <w:webHidden/>
              </w:rPr>
            </w:r>
            <w:r w:rsidR="00C95BA9">
              <w:rPr>
                <w:noProof/>
                <w:webHidden/>
              </w:rPr>
              <w:fldChar w:fldCharType="separate"/>
            </w:r>
            <w:r w:rsidR="00C95BA9">
              <w:rPr>
                <w:noProof/>
                <w:webHidden/>
              </w:rPr>
              <w:t>4</w:t>
            </w:r>
            <w:r w:rsidR="00C95BA9">
              <w:rPr>
                <w:noProof/>
                <w:webHidden/>
              </w:rPr>
              <w:fldChar w:fldCharType="end"/>
            </w:r>
          </w:hyperlink>
        </w:p>
        <w:p w14:paraId="15ED4853" w14:textId="77777777" w:rsidR="00C95BA9" w:rsidRDefault="003E40F0" w:rsidP="00C95BA9">
          <w:pPr>
            <w:pStyle w:val="TOC1"/>
            <w:tabs>
              <w:tab w:val="right" w:pos="9350"/>
            </w:tabs>
            <w:spacing w:line="240" w:lineRule="auto"/>
            <w:rPr>
              <w:rFonts w:eastAsiaTheme="minorEastAsia" w:cstheme="minorBidi"/>
              <w:noProof/>
              <w:lang w:val="en-CA"/>
            </w:rPr>
          </w:pPr>
          <w:hyperlink w:anchor="_Toc536628928" w:history="1">
            <w:r w:rsidR="00C95BA9" w:rsidRPr="009825AC">
              <w:rPr>
                <w:rStyle w:val="Hyperlink"/>
                <w:noProof/>
              </w:rPr>
              <w:t>6.2.5. Exposure Time</w:t>
            </w:r>
            <w:r w:rsidR="00C95BA9">
              <w:rPr>
                <w:noProof/>
                <w:webHidden/>
              </w:rPr>
              <w:tab/>
            </w:r>
            <w:r w:rsidR="00C95BA9">
              <w:rPr>
                <w:noProof/>
                <w:webHidden/>
              </w:rPr>
              <w:fldChar w:fldCharType="begin"/>
            </w:r>
            <w:r w:rsidR="00C95BA9">
              <w:rPr>
                <w:noProof/>
                <w:webHidden/>
              </w:rPr>
              <w:instrText xml:space="preserve"> PAGEREF _Toc536628928 \h </w:instrText>
            </w:r>
            <w:r w:rsidR="00C95BA9">
              <w:rPr>
                <w:noProof/>
                <w:webHidden/>
              </w:rPr>
            </w:r>
            <w:r w:rsidR="00C95BA9">
              <w:rPr>
                <w:noProof/>
                <w:webHidden/>
              </w:rPr>
              <w:fldChar w:fldCharType="separate"/>
            </w:r>
            <w:r w:rsidR="00C95BA9">
              <w:rPr>
                <w:noProof/>
                <w:webHidden/>
              </w:rPr>
              <w:t>5</w:t>
            </w:r>
            <w:r w:rsidR="00C95BA9">
              <w:rPr>
                <w:noProof/>
                <w:webHidden/>
              </w:rPr>
              <w:fldChar w:fldCharType="end"/>
            </w:r>
          </w:hyperlink>
        </w:p>
        <w:p w14:paraId="4AFC4FAD" w14:textId="77777777" w:rsidR="00C95BA9" w:rsidRDefault="003E40F0" w:rsidP="00C95BA9">
          <w:pPr>
            <w:pStyle w:val="TOC1"/>
            <w:tabs>
              <w:tab w:val="right" w:pos="9350"/>
            </w:tabs>
            <w:spacing w:line="240" w:lineRule="auto"/>
            <w:rPr>
              <w:rFonts w:eastAsiaTheme="minorEastAsia" w:cstheme="minorBidi"/>
              <w:noProof/>
              <w:lang w:val="en-CA"/>
            </w:rPr>
          </w:pPr>
          <w:hyperlink w:anchor="_Toc536628929" w:history="1">
            <w:r w:rsidR="00C95BA9" w:rsidRPr="009825AC">
              <w:rPr>
                <w:rStyle w:val="Hyperlink"/>
                <w:noProof/>
              </w:rPr>
              <w:t>6.2.6. Effective Date</w:t>
            </w:r>
            <w:r w:rsidR="00C95BA9">
              <w:rPr>
                <w:noProof/>
                <w:webHidden/>
              </w:rPr>
              <w:tab/>
            </w:r>
            <w:r w:rsidR="00C95BA9">
              <w:rPr>
                <w:noProof/>
                <w:webHidden/>
              </w:rPr>
              <w:fldChar w:fldCharType="begin"/>
            </w:r>
            <w:r w:rsidR="00C95BA9">
              <w:rPr>
                <w:noProof/>
                <w:webHidden/>
              </w:rPr>
              <w:instrText xml:space="preserve"> PAGEREF _Toc536628929 \h </w:instrText>
            </w:r>
            <w:r w:rsidR="00C95BA9">
              <w:rPr>
                <w:noProof/>
                <w:webHidden/>
              </w:rPr>
            </w:r>
            <w:r w:rsidR="00C95BA9">
              <w:rPr>
                <w:noProof/>
                <w:webHidden/>
              </w:rPr>
              <w:fldChar w:fldCharType="separate"/>
            </w:r>
            <w:r w:rsidR="00C95BA9">
              <w:rPr>
                <w:noProof/>
                <w:webHidden/>
              </w:rPr>
              <w:t>6</w:t>
            </w:r>
            <w:r w:rsidR="00C95BA9">
              <w:rPr>
                <w:noProof/>
                <w:webHidden/>
              </w:rPr>
              <w:fldChar w:fldCharType="end"/>
            </w:r>
          </w:hyperlink>
        </w:p>
        <w:p w14:paraId="4C896A2D" w14:textId="77777777" w:rsidR="00C95BA9" w:rsidRDefault="003E40F0" w:rsidP="00C95BA9">
          <w:pPr>
            <w:pStyle w:val="TOC1"/>
            <w:tabs>
              <w:tab w:val="right" w:pos="9350"/>
            </w:tabs>
            <w:spacing w:line="240" w:lineRule="auto"/>
            <w:rPr>
              <w:rFonts w:eastAsiaTheme="minorEastAsia" w:cstheme="minorBidi"/>
              <w:noProof/>
              <w:lang w:val="en-CA"/>
            </w:rPr>
          </w:pPr>
          <w:hyperlink w:anchor="_Toc536628930" w:history="1">
            <w:r w:rsidR="00C95BA9" w:rsidRPr="009825AC">
              <w:rPr>
                <w:rStyle w:val="Hyperlink"/>
                <w:noProof/>
              </w:rPr>
              <w:t>6.2.7. Report Date</w:t>
            </w:r>
            <w:r w:rsidR="00C95BA9">
              <w:rPr>
                <w:noProof/>
                <w:webHidden/>
              </w:rPr>
              <w:tab/>
            </w:r>
            <w:r w:rsidR="00C95BA9">
              <w:rPr>
                <w:noProof/>
                <w:webHidden/>
              </w:rPr>
              <w:fldChar w:fldCharType="begin"/>
            </w:r>
            <w:r w:rsidR="00C95BA9">
              <w:rPr>
                <w:noProof/>
                <w:webHidden/>
              </w:rPr>
              <w:instrText xml:space="preserve"> PAGEREF _Toc536628930 \h </w:instrText>
            </w:r>
            <w:r w:rsidR="00C95BA9">
              <w:rPr>
                <w:noProof/>
                <w:webHidden/>
              </w:rPr>
            </w:r>
            <w:r w:rsidR="00C95BA9">
              <w:rPr>
                <w:noProof/>
                <w:webHidden/>
              </w:rPr>
              <w:fldChar w:fldCharType="separate"/>
            </w:r>
            <w:r w:rsidR="00C95BA9">
              <w:rPr>
                <w:noProof/>
                <w:webHidden/>
              </w:rPr>
              <w:t>6</w:t>
            </w:r>
            <w:r w:rsidR="00C95BA9">
              <w:rPr>
                <w:noProof/>
                <w:webHidden/>
              </w:rPr>
              <w:fldChar w:fldCharType="end"/>
            </w:r>
          </w:hyperlink>
        </w:p>
        <w:p w14:paraId="4EBB2161" w14:textId="77777777" w:rsidR="00C95BA9" w:rsidRDefault="003E40F0" w:rsidP="00C95BA9">
          <w:pPr>
            <w:pStyle w:val="TOC1"/>
            <w:tabs>
              <w:tab w:val="right" w:pos="9350"/>
            </w:tabs>
            <w:spacing w:line="240" w:lineRule="auto"/>
            <w:rPr>
              <w:rFonts w:eastAsiaTheme="minorEastAsia" w:cstheme="minorBidi"/>
              <w:noProof/>
              <w:lang w:val="en-CA"/>
            </w:rPr>
          </w:pPr>
          <w:hyperlink w:anchor="_Toc536628931" w:history="1">
            <w:r w:rsidR="00C95BA9" w:rsidRPr="009825AC">
              <w:rPr>
                <w:rStyle w:val="Hyperlink"/>
                <w:noProof/>
              </w:rPr>
              <w:t>6.2.8. Property Interest and Characteristics</w:t>
            </w:r>
            <w:r w:rsidR="00C95BA9">
              <w:rPr>
                <w:noProof/>
                <w:webHidden/>
              </w:rPr>
              <w:tab/>
            </w:r>
            <w:r w:rsidR="00C95BA9">
              <w:rPr>
                <w:noProof/>
                <w:webHidden/>
              </w:rPr>
              <w:fldChar w:fldCharType="begin"/>
            </w:r>
            <w:r w:rsidR="00C95BA9">
              <w:rPr>
                <w:noProof/>
                <w:webHidden/>
              </w:rPr>
              <w:instrText xml:space="preserve"> PAGEREF _Toc536628931 \h </w:instrText>
            </w:r>
            <w:r w:rsidR="00C95BA9">
              <w:rPr>
                <w:noProof/>
                <w:webHidden/>
              </w:rPr>
            </w:r>
            <w:r w:rsidR="00C95BA9">
              <w:rPr>
                <w:noProof/>
                <w:webHidden/>
              </w:rPr>
              <w:fldChar w:fldCharType="separate"/>
            </w:r>
            <w:r w:rsidR="00C95BA9">
              <w:rPr>
                <w:noProof/>
                <w:webHidden/>
              </w:rPr>
              <w:t>6</w:t>
            </w:r>
            <w:r w:rsidR="00C95BA9">
              <w:rPr>
                <w:noProof/>
                <w:webHidden/>
              </w:rPr>
              <w:fldChar w:fldCharType="end"/>
            </w:r>
          </w:hyperlink>
        </w:p>
        <w:p w14:paraId="7BFC68B1" w14:textId="77777777" w:rsidR="00C95BA9" w:rsidRDefault="003E40F0" w:rsidP="00C95BA9">
          <w:pPr>
            <w:pStyle w:val="TOC1"/>
            <w:tabs>
              <w:tab w:val="right" w:pos="9350"/>
            </w:tabs>
            <w:spacing w:line="240" w:lineRule="auto"/>
            <w:rPr>
              <w:rFonts w:eastAsiaTheme="minorEastAsia" w:cstheme="minorBidi"/>
              <w:noProof/>
              <w:lang w:val="en-CA"/>
            </w:rPr>
          </w:pPr>
          <w:hyperlink w:anchor="_Toc536628932" w:history="1">
            <w:r w:rsidR="00C95BA9" w:rsidRPr="009825AC">
              <w:rPr>
                <w:rStyle w:val="Hyperlink"/>
                <w:noProof/>
              </w:rPr>
              <w:t>6.2.9. Assumptions and Limiting Conditions</w:t>
            </w:r>
            <w:r w:rsidR="00C95BA9">
              <w:rPr>
                <w:noProof/>
                <w:webHidden/>
              </w:rPr>
              <w:tab/>
            </w:r>
            <w:r w:rsidR="00C95BA9">
              <w:rPr>
                <w:noProof/>
                <w:webHidden/>
              </w:rPr>
              <w:fldChar w:fldCharType="begin"/>
            </w:r>
            <w:r w:rsidR="00C95BA9">
              <w:rPr>
                <w:noProof/>
                <w:webHidden/>
              </w:rPr>
              <w:instrText xml:space="preserve"> PAGEREF _Toc536628932 \h </w:instrText>
            </w:r>
            <w:r w:rsidR="00C95BA9">
              <w:rPr>
                <w:noProof/>
                <w:webHidden/>
              </w:rPr>
            </w:r>
            <w:r w:rsidR="00C95BA9">
              <w:rPr>
                <w:noProof/>
                <w:webHidden/>
              </w:rPr>
              <w:fldChar w:fldCharType="separate"/>
            </w:r>
            <w:r w:rsidR="00C95BA9">
              <w:rPr>
                <w:noProof/>
                <w:webHidden/>
              </w:rPr>
              <w:t>7</w:t>
            </w:r>
            <w:r w:rsidR="00C95BA9">
              <w:rPr>
                <w:noProof/>
                <w:webHidden/>
              </w:rPr>
              <w:fldChar w:fldCharType="end"/>
            </w:r>
          </w:hyperlink>
        </w:p>
        <w:p w14:paraId="1D494211" w14:textId="77777777" w:rsidR="00C95BA9" w:rsidRDefault="003E40F0" w:rsidP="00C95BA9">
          <w:pPr>
            <w:pStyle w:val="TOC1"/>
            <w:tabs>
              <w:tab w:val="right" w:pos="9350"/>
            </w:tabs>
            <w:spacing w:line="240" w:lineRule="auto"/>
            <w:rPr>
              <w:rFonts w:eastAsiaTheme="minorEastAsia" w:cstheme="minorBidi"/>
              <w:noProof/>
              <w:lang w:val="en-CA"/>
            </w:rPr>
          </w:pPr>
          <w:hyperlink w:anchor="_Toc536628933" w:history="1">
            <w:r w:rsidR="00C95BA9" w:rsidRPr="009825AC">
              <w:rPr>
                <w:rStyle w:val="Hyperlink"/>
                <w:noProof/>
              </w:rPr>
              <w:t>6.2.10. Hypothetical Conditions</w:t>
            </w:r>
            <w:r w:rsidR="00C95BA9">
              <w:rPr>
                <w:noProof/>
                <w:webHidden/>
              </w:rPr>
              <w:tab/>
            </w:r>
            <w:r w:rsidR="00C95BA9">
              <w:rPr>
                <w:noProof/>
                <w:webHidden/>
              </w:rPr>
              <w:fldChar w:fldCharType="begin"/>
            </w:r>
            <w:r w:rsidR="00C95BA9">
              <w:rPr>
                <w:noProof/>
                <w:webHidden/>
              </w:rPr>
              <w:instrText xml:space="preserve"> PAGEREF _Toc536628933 \h </w:instrText>
            </w:r>
            <w:r w:rsidR="00C95BA9">
              <w:rPr>
                <w:noProof/>
                <w:webHidden/>
              </w:rPr>
            </w:r>
            <w:r w:rsidR="00C95BA9">
              <w:rPr>
                <w:noProof/>
                <w:webHidden/>
              </w:rPr>
              <w:fldChar w:fldCharType="separate"/>
            </w:r>
            <w:r w:rsidR="00C95BA9">
              <w:rPr>
                <w:noProof/>
                <w:webHidden/>
              </w:rPr>
              <w:t>8</w:t>
            </w:r>
            <w:r w:rsidR="00C95BA9">
              <w:rPr>
                <w:noProof/>
                <w:webHidden/>
              </w:rPr>
              <w:fldChar w:fldCharType="end"/>
            </w:r>
          </w:hyperlink>
        </w:p>
        <w:p w14:paraId="1E785215" w14:textId="77777777" w:rsidR="00C95BA9" w:rsidRDefault="003E40F0" w:rsidP="00C95BA9">
          <w:pPr>
            <w:pStyle w:val="TOC1"/>
            <w:tabs>
              <w:tab w:val="right" w:pos="9350"/>
            </w:tabs>
            <w:spacing w:line="240" w:lineRule="auto"/>
            <w:rPr>
              <w:rFonts w:eastAsiaTheme="minorEastAsia" w:cstheme="minorBidi"/>
              <w:noProof/>
              <w:lang w:val="en-CA"/>
            </w:rPr>
          </w:pPr>
          <w:hyperlink w:anchor="_Toc536628934" w:history="1">
            <w:r w:rsidR="00C95BA9" w:rsidRPr="009825AC">
              <w:rPr>
                <w:rStyle w:val="Hyperlink"/>
                <w:noProof/>
              </w:rPr>
              <w:t>6.2.11. Land Use</w:t>
            </w:r>
            <w:r w:rsidR="00C95BA9">
              <w:rPr>
                <w:noProof/>
                <w:webHidden/>
              </w:rPr>
              <w:tab/>
            </w:r>
            <w:r w:rsidR="00C95BA9">
              <w:rPr>
                <w:noProof/>
                <w:webHidden/>
              </w:rPr>
              <w:fldChar w:fldCharType="begin"/>
            </w:r>
            <w:r w:rsidR="00C95BA9">
              <w:rPr>
                <w:noProof/>
                <w:webHidden/>
              </w:rPr>
              <w:instrText xml:space="preserve"> PAGEREF _Toc536628934 \h </w:instrText>
            </w:r>
            <w:r w:rsidR="00C95BA9">
              <w:rPr>
                <w:noProof/>
                <w:webHidden/>
              </w:rPr>
            </w:r>
            <w:r w:rsidR="00C95BA9">
              <w:rPr>
                <w:noProof/>
                <w:webHidden/>
              </w:rPr>
              <w:fldChar w:fldCharType="separate"/>
            </w:r>
            <w:r w:rsidR="00C95BA9">
              <w:rPr>
                <w:noProof/>
                <w:webHidden/>
              </w:rPr>
              <w:t>8</w:t>
            </w:r>
            <w:r w:rsidR="00C95BA9">
              <w:rPr>
                <w:noProof/>
                <w:webHidden/>
              </w:rPr>
              <w:fldChar w:fldCharType="end"/>
            </w:r>
          </w:hyperlink>
        </w:p>
        <w:p w14:paraId="08F1A32F" w14:textId="77777777" w:rsidR="00C95BA9" w:rsidRDefault="003E40F0" w:rsidP="00C95BA9">
          <w:pPr>
            <w:pStyle w:val="TOC1"/>
            <w:tabs>
              <w:tab w:val="right" w:pos="9350"/>
            </w:tabs>
            <w:spacing w:line="240" w:lineRule="auto"/>
            <w:rPr>
              <w:rFonts w:eastAsiaTheme="minorEastAsia" w:cstheme="minorBidi"/>
              <w:noProof/>
              <w:lang w:val="en-CA"/>
            </w:rPr>
          </w:pPr>
          <w:hyperlink w:anchor="_Toc536628935" w:history="1">
            <w:r w:rsidR="00C95BA9" w:rsidRPr="009825AC">
              <w:rPr>
                <w:rStyle w:val="Hyperlink"/>
                <w:noProof/>
              </w:rPr>
              <w:t>6.2.12. Existing Use</w:t>
            </w:r>
            <w:r w:rsidR="00C95BA9">
              <w:rPr>
                <w:noProof/>
                <w:webHidden/>
              </w:rPr>
              <w:tab/>
            </w:r>
            <w:r w:rsidR="00C95BA9">
              <w:rPr>
                <w:noProof/>
                <w:webHidden/>
              </w:rPr>
              <w:fldChar w:fldCharType="begin"/>
            </w:r>
            <w:r w:rsidR="00C95BA9">
              <w:rPr>
                <w:noProof/>
                <w:webHidden/>
              </w:rPr>
              <w:instrText xml:space="preserve"> PAGEREF _Toc536628935 \h </w:instrText>
            </w:r>
            <w:r w:rsidR="00C95BA9">
              <w:rPr>
                <w:noProof/>
                <w:webHidden/>
              </w:rPr>
            </w:r>
            <w:r w:rsidR="00C95BA9">
              <w:rPr>
                <w:noProof/>
                <w:webHidden/>
              </w:rPr>
              <w:fldChar w:fldCharType="separate"/>
            </w:r>
            <w:r w:rsidR="00C95BA9">
              <w:rPr>
                <w:noProof/>
                <w:webHidden/>
              </w:rPr>
              <w:t>9</w:t>
            </w:r>
            <w:r w:rsidR="00C95BA9">
              <w:rPr>
                <w:noProof/>
                <w:webHidden/>
              </w:rPr>
              <w:fldChar w:fldCharType="end"/>
            </w:r>
          </w:hyperlink>
        </w:p>
        <w:p w14:paraId="390DF45A" w14:textId="77777777" w:rsidR="00C95BA9" w:rsidRDefault="003E40F0" w:rsidP="00C95BA9">
          <w:pPr>
            <w:pStyle w:val="TOC1"/>
            <w:tabs>
              <w:tab w:val="right" w:pos="9350"/>
            </w:tabs>
            <w:spacing w:line="240" w:lineRule="auto"/>
            <w:rPr>
              <w:rFonts w:eastAsiaTheme="minorEastAsia" w:cstheme="minorBidi"/>
              <w:noProof/>
              <w:lang w:val="en-CA"/>
            </w:rPr>
          </w:pPr>
          <w:hyperlink w:anchor="_Toc536628936" w:history="1">
            <w:r w:rsidR="00C95BA9" w:rsidRPr="009825AC">
              <w:rPr>
                <w:rStyle w:val="Hyperlink"/>
                <w:noProof/>
              </w:rPr>
              <w:t>6.2.13. Highest and Best Use</w:t>
            </w:r>
            <w:r w:rsidR="00C95BA9">
              <w:rPr>
                <w:noProof/>
                <w:webHidden/>
              </w:rPr>
              <w:tab/>
            </w:r>
            <w:r w:rsidR="00C95BA9">
              <w:rPr>
                <w:noProof/>
                <w:webHidden/>
              </w:rPr>
              <w:fldChar w:fldCharType="begin"/>
            </w:r>
            <w:r w:rsidR="00C95BA9">
              <w:rPr>
                <w:noProof/>
                <w:webHidden/>
              </w:rPr>
              <w:instrText xml:space="preserve"> PAGEREF _Toc536628936 \h </w:instrText>
            </w:r>
            <w:r w:rsidR="00C95BA9">
              <w:rPr>
                <w:noProof/>
                <w:webHidden/>
              </w:rPr>
            </w:r>
            <w:r w:rsidR="00C95BA9">
              <w:rPr>
                <w:noProof/>
                <w:webHidden/>
              </w:rPr>
              <w:fldChar w:fldCharType="separate"/>
            </w:r>
            <w:r w:rsidR="00C95BA9">
              <w:rPr>
                <w:noProof/>
                <w:webHidden/>
              </w:rPr>
              <w:t>9</w:t>
            </w:r>
            <w:r w:rsidR="00C95BA9">
              <w:rPr>
                <w:noProof/>
                <w:webHidden/>
              </w:rPr>
              <w:fldChar w:fldCharType="end"/>
            </w:r>
          </w:hyperlink>
        </w:p>
        <w:p w14:paraId="6763F5F6" w14:textId="77777777" w:rsidR="00C95BA9" w:rsidRDefault="003E40F0" w:rsidP="00C95BA9">
          <w:pPr>
            <w:pStyle w:val="TOC1"/>
            <w:tabs>
              <w:tab w:val="right" w:pos="9350"/>
            </w:tabs>
            <w:spacing w:line="240" w:lineRule="auto"/>
            <w:rPr>
              <w:rFonts w:eastAsiaTheme="minorEastAsia" w:cstheme="minorBidi"/>
              <w:noProof/>
              <w:lang w:val="en-CA"/>
            </w:rPr>
          </w:pPr>
          <w:hyperlink w:anchor="_Toc536628937" w:history="1">
            <w:r w:rsidR="00C95BA9" w:rsidRPr="009825AC">
              <w:rPr>
                <w:rStyle w:val="Hyperlink"/>
                <w:noProof/>
              </w:rPr>
              <w:t>6.2.14. Data</w:t>
            </w:r>
            <w:r w:rsidR="00C95BA9">
              <w:rPr>
                <w:noProof/>
                <w:webHidden/>
              </w:rPr>
              <w:tab/>
            </w:r>
            <w:r w:rsidR="00C95BA9">
              <w:rPr>
                <w:noProof/>
                <w:webHidden/>
              </w:rPr>
              <w:fldChar w:fldCharType="begin"/>
            </w:r>
            <w:r w:rsidR="00C95BA9">
              <w:rPr>
                <w:noProof/>
                <w:webHidden/>
              </w:rPr>
              <w:instrText xml:space="preserve"> PAGEREF _Toc536628937 \h </w:instrText>
            </w:r>
            <w:r w:rsidR="00C95BA9">
              <w:rPr>
                <w:noProof/>
                <w:webHidden/>
              </w:rPr>
            </w:r>
            <w:r w:rsidR="00C95BA9">
              <w:rPr>
                <w:noProof/>
                <w:webHidden/>
              </w:rPr>
              <w:fldChar w:fldCharType="separate"/>
            </w:r>
            <w:r w:rsidR="00C95BA9">
              <w:rPr>
                <w:noProof/>
                <w:webHidden/>
              </w:rPr>
              <w:t>10</w:t>
            </w:r>
            <w:r w:rsidR="00C95BA9">
              <w:rPr>
                <w:noProof/>
                <w:webHidden/>
              </w:rPr>
              <w:fldChar w:fldCharType="end"/>
            </w:r>
          </w:hyperlink>
        </w:p>
        <w:p w14:paraId="00DFD356" w14:textId="77777777" w:rsidR="00C95BA9" w:rsidRDefault="003E40F0" w:rsidP="00C95BA9">
          <w:pPr>
            <w:pStyle w:val="TOC1"/>
            <w:tabs>
              <w:tab w:val="right" w:pos="9350"/>
            </w:tabs>
            <w:spacing w:line="240" w:lineRule="auto"/>
            <w:rPr>
              <w:rFonts w:eastAsiaTheme="minorEastAsia" w:cstheme="minorBidi"/>
              <w:noProof/>
              <w:lang w:val="en-CA"/>
            </w:rPr>
          </w:pPr>
          <w:hyperlink w:anchor="_Toc536628938" w:history="1">
            <w:r w:rsidR="00C95BA9" w:rsidRPr="009825AC">
              <w:rPr>
                <w:rStyle w:val="Hyperlink"/>
                <w:noProof/>
              </w:rPr>
              <w:t>6.2.15. Appraisal Procedures</w:t>
            </w:r>
            <w:r w:rsidR="00C95BA9">
              <w:rPr>
                <w:noProof/>
                <w:webHidden/>
              </w:rPr>
              <w:tab/>
            </w:r>
            <w:r w:rsidR="00C95BA9">
              <w:rPr>
                <w:noProof/>
                <w:webHidden/>
              </w:rPr>
              <w:fldChar w:fldCharType="begin"/>
            </w:r>
            <w:r w:rsidR="00C95BA9">
              <w:rPr>
                <w:noProof/>
                <w:webHidden/>
              </w:rPr>
              <w:instrText xml:space="preserve"> PAGEREF _Toc536628938 \h </w:instrText>
            </w:r>
            <w:r w:rsidR="00C95BA9">
              <w:rPr>
                <w:noProof/>
                <w:webHidden/>
              </w:rPr>
            </w:r>
            <w:r w:rsidR="00C95BA9">
              <w:rPr>
                <w:noProof/>
                <w:webHidden/>
              </w:rPr>
              <w:fldChar w:fldCharType="separate"/>
            </w:r>
            <w:r w:rsidR="00C95BA9">
              <w:rPr>
                <w:noProof/>
                <w:webHidden/>
              </w:rPr>
              <w:t>10</w:t>
            </w:r>
            <w:r w:rsidR="00C95BA9">
              <w:rPr>
                <w:noProof/>
                <w:webHidden/>
              </w:rPr>
              <w:fldChar w:fldCharType="end"/>
            </w:r>
          </w:hyperlink>
        </w:p>
        <w:p w14:paraId="25BB2C1D" w14:textId="77777777" w:rsidR="00C95BA9" w:rsidRDefault="003E40F0" w:rsidP="00C95BA9">
          <w:pPr>
            <w:pStyle w:val="TOC1"/>
            <w:tabs>
              <w:tab w:val="right" w:pos="9350"/>
            </w:tabs>
            <w:spacing w:line="240" w:lineRule="auto"/>
            <w:rPr>
              <w:rFonts w:eastAsiaTheme="minorEastAsia" w:cstheme="minorBidi"/>
              <w:noProof/>
              <w:lang w:val="en-CA"/>
            </w:rPr>
          </w:pPr>
          <w:hyperlink w:anchor="_Toc536628939" w:history="1">
            <w:r w:rsidR="00C95BA9" w:rsidRPr="009825AC">
              <w:rPr>
                <w:rStyle w:val="Hyperlink"/>
                <w:noProof/>
              </w:rPr>
              <w:t>6.2.16. Detail Your Reasoning</w:t>
            </w:r>
            <w:r w:rsidR="00C95BA9">
              <w:rPr>
                <w:noProof/>
                <w:webHidden/>
              </w:rPr>
              <w:tab/>
            </w:r>
            <w:r w:rsidR="00C95BA9">
              <w:rPr>
                <w:noProof/>
                <w:webHidden/>
              </w:rPr>
              <w:fldChar w:fldCharType="begin"/>
            </w:r>
            <w:r w:rsidR="00C95BA9">
              <w:rPr>
                <w:noProof/>
                <w:webHidden/>
              </w:rPr>
              <w:instrText xml:space="preserve"> PAGEREF _Toc536628939 \h </w:instrText>
            </w:r>
            <w:r w:rsidR="00C95BA9">
              <w:rPr>
                <w:noProof/>
                <w:webHidden/>
              </w:rPr>
            </w:r>
            <w:r w:rsidR="00C95BA9">
              <w:rPr>
                <w:noProof/>
                <w:webHidden/>
              </w:rPr>
              <w:fldChar w:fldCharType="separate"/>
            </w:r>
            <w:r w:rsidR="00C95BA9">
              <w:rPr>
                <w:noProof/>
                <w:webHidden/>
              </w:rPr>
              <w:t>11</w:t>
            </w:r>
            <w:r w:rsidR="00C95BA9">
              <w:rPr>
                <w:noProof/>
                <w:webHidden/>
              </w:rPr>
              <w:fldChar w:fldCharType="end"/>
            </w:r>
          </w:hyperlink>
        </w:p>
        <w:p w14:paraId="18980BE9" w14:textId="77777777" w:rsidR="00C95BA9" w:rsidRDefault="003E40F0" w:rsidP="00C95BA9">
          <w:pPr>
            <w:pStyle w:val="TOC1"/>
            <w:tabs>
              <w:tab w:val="right" w:pos="9350"/>
            </w:tabs>
            <w:spacing w:line="240" w:lineRule="auto"/>
            <w:rPr>
              <w:rFonts w:eastAsiaTheme="minorEastAsia" w:cstheme="minorBidi"/>
              <w:noProof/>
              <w:lang w:val="en-CA"/>
            </w:rPr>
          </w:pPr>
          <w:hyperlink w:anchor="_Toc536628940" w:history="1">
            <w:r w:rsidR="00C95BA9" w:rsidRPr="009825AC">
              <w:rPr>
                <w:rStyle w:val="Hyperlink"/>
                <w:noProof/>
              </w:rPr>
              <w:t>6.2.17. Leases</w:t>
            </w:r>
            <w:r w:rsidR="00C95BA9">
              <w:rPr>
                <w:noProof/>
                <w:webHidden/>
              </w:rPr>
              <w:tab/>
            </w:r>
            <w:r w:rsidR="00C95BA9">
              <w:rPr>
                <w:noProof/>
                <w:webHidden/>
              </w:rPr>
              <w:fldChar w:fldCharType="begin"/>
            </w:r>
            <w:r w:rsidR="00C95BA9">
              <w:rPr>
                <w:noProof/>
                <w:webHidden/>
              </w:rPr>
              <w:instrText xml:space="preserve"> PAGEREF _Toc536628940 \h </w:instrText>
            </w:r>
            <w:r w:rsidR="00C95BA9">
              <w:rPr>
                <w:noProof/>
                <w:webHidden/>
              </w:rPr>
            </w:r>
            <w:r w:rsidR="00C95BA9">
              <w:rPr>
                <w:noProof/>
                <w:webHidden/>
              </w:rPr>
              <w:fldChar w:fldCharType="separate"/>
            </w:r>
            <w:r w:rsidR="00C95BA9">
              <w:rPr>
                <w:noProof/>
                <w:webHidden/>
              </w:rPr>
              <w:t>14</w:t>
            </w:r>
            <w:r w:rsidR="00C95BA9">
              <w:rPr>
                <w:noProof/>
                <w:webHidden/>
              </w:rPr>
              <w:fldChar w:fldCharType="end"/>
            </w:r>
          </w:hyperlink>
        </w:p>
        <w:p w14:paraId="1C0DB18A" w14:textId="77777777" w:rsidR="00C95BA9" w:rsidRDefault="003E40F0" w:rsidP="00C95BA9">
          <w:pPr>
            <w:pStyle w:val="TOC1"/>
            <w:tabs>
              <w:tab w:val="right" w:pos="9350"/>
            </w:tabs>
            <w:spacing w:line="240" w:lineRule="auto"/>
            <w:rPr>
              <w:rFonts w:eastAsiaTheme="minorEastAsia" w:cstheme="minorBidi"/>
              <w:noProof/>
              <w:lang w:val="en-CA"/>
            </w:rPr>
          </w:pPr>
          <w:hyperlink w:anchor="_Toc536628941" w:history="1">
            <w:r w:rsidR="00C95BA9" w:rsidRPr="009825AC">
              <w:rPr>
                <w:rStyle w:val="Hyperlink"/>
                <w:noProof/>
              </w:rPr>
              <w:t>6.2.18. Assemblage</w:t>
            </w:r>
            <w:r w:rsidR="00C95BA9">
              <w:rPr>
                <w:noProof/>
                <w:webHidden/>
              </w:rPr>
              <w:tab/>
            </w:r>
            <w:r w:rsidR="00C95BA9">
              <w:rPr>
                <w:noProof/>
                <w:webHidden/>
              </w:rPr>
              <w:fldChar w:fldCharType="begin"/>
            </w:r>
            <w:r w:rsidR="00C95BA9">
              <w:rPr>
                <w:noProof/>
                <w:webHidden/>
              </w:rPr>
              <w:instrText xml:space="preserve"> PAGEREF _Toc536628941 \h </w:instrText>
            </w:r>
            <w:r w:rsidR="00C95BA9">
              <w:rPr>
                <w:noProof/>
                <w:webHidden/>
              </w:rPr>
            </w:r>
            <w:r w:rsidR="00C95BA9">
              <w:rPr>
                <w:noProof/>
                <w:webHidden/>
              </w:rPr>
              <w:fldChar w:fldCharType="separate"/>
            </w:r>
            <w:r w:rsidR="00C95BA9">
              <w:rPr>
                <w:noProof/>
                <w:webHidden/>
              </w:rPr>
              <w:t>15</w:t>
            </w:r>
            <w:r w:rsidR="00C95BA9">
              <w:rPr>
                <w:noProof/>
                <w:webHidden/>
              </w:rPr>
              <w:fldChar w:fldCharType="end"/>
            </w:r>
          </w:hyperlink>
        </w:p>
        <w:p w14:paraId="5460CCB1" w14:textId="77777777" w:rsidR="00C95BA9" w:rsidRDefault="003E40F0" w:rsidP="00C95BA9">
          <w:pPr>
            <w:pStyle w:val="TOC1"/>
            <w:tabs>
              <w:tab w:val="right" w:pos="9350"/>
            </w:tabs>
            <w:spacing w:line="240" w:lineRule="auto"/>
            <w:rPr>
              <w:rFonts w:eastAsiaTheme="minorEastAsia" w:cstheme="minorBidi"/>
              <w:noProof/>
              <w:lang w:val="en-CA"/>
            </w:rPr>
          </w:pPr>
          <w:hyperlink w:anchor="_Toc536628942" w:history="1">
            <w:r w:rsidR="00C95BA9" w:rsidRPr="009825AC">
              <w:rPr>
                <w:rStyle w:val="Hyperlink"/>
                <w:noProof/>
              </w:rPr>
              <w:t>6.2.19. Public/Private Improvements</w:t>
            </w:r>
            <w:r w:rsidR="00C95BA9">
              <w:rPr>
                <w:noProof/>
                <w:webHidden/>
              </w:rPr>
              <w:tab/>
            </w:r>
            <w:r w:rsidR="00C95BA9">
              <w:rPr>
                <w:noProof/>
                <w:webHidden/>
              </w:rPr>
              <w:fldChar w:fldCharType="begin"/>
            </w:r>
            <w:r w:rsidR="00C95BA9">
              <w:rPr>
                <w:noProof/>
                <w:webHidden/>
              </w:rPr>
              <w:instrText xml:space="preserve"> PAGEREF _Toc536628942 \h </w:instrText>
            </w:r>
            <w:r w:rsidR="00C95BA9">
              <w:rPr>
                <w:noProof/>
                <w:webHidden/>
              </w:rPr>
            </w:r>
            <w:r w:rsidR="00C95BA9">
              <w:rPr>
                <w:noProof/>
                <w:webHidden/>
              </w:rPr>
              <w:fldChar w:fldCharType="separate"/>
            </w:r>
            <w:r w:rsidR="00C95BA9">
              <w:rPr>
                <w:noProof/>
                <w:webHidden/>
              </w:rPr>
              <w:t>15</w:t>
            </w:r>
            <w:r w:rsidR="00C95BA9">
              <w:rPr>
                <w:noProof/>
                <w:webHidden/>
              </w:rPr>
              <w:fldChar w:fldCharType="end"/>
            </w:r>
          </w:hyperlink>
        </w:p>
        <w:p w14:paraId="2099846C" w14:textId="77777777" w:rsidR="00C95BA9" w:rsidRDefault="003E40F0" w:rsidP="00C95BA9">
          <w:pPr>
            <w:pStyle w:val="TOC1"/>
            <w:tabs>
              <w:tab w:val="right" w:pos="9350"/>
            </w:tabs>
            <w:spacing w:line="240" w:lineRule="auto"/>
            <w:rPr>
              <w:rFonts w:eastAsiaTheme="minorEastAsia" w:cstheme="minorBidi"/>
              <w:noProof/>
              <w:lang w:val="en-CA"/>
            </w:rPr>
          </w:pPr>
          <w:hyperlink w:anchor="_Toc536628943" w:history="1">
            <w:r w:rsidR="00C95BA9" w:rsidRPr="009825AC">
              <w:rPr>
                <w:rStyle w:val="Hyperlink"/>
                <w:noProof/>
              </w:rPr>
              <w:t>6.2.20. Personal Property</w:t>
            </w:r>
            <w:r w:rsidR="00C95BA9">
              <w:rPr>
                <w:noProof/>
                <w:webHidden/>
              </w:rPr>
              <w:tab/>
            </w:r>
            <w:r w:rsidR="00C95BA9">
              <w:rPr>
                <w:noProof/>
                <w:webHidden/>
              </w:rPr>
              <w:fldChar w:fldCharType="begin"/>
            </w:r>
            <w:r w:rsidR="00C95BA9">
              <w:rPr>
                <w:noProof/>
                <w:webHidden/>
              </w:rPr>
              <w:instrText xml:space="preserve"> PAGEREF _Toc536628943 \h </w:instrText>
            </w:r>
            <w:r w:rsidR="00C95BA9">
              <w:rPr>
                <w:noProof/>
                <w:webHidden/>
              </w:rPr>
            </w:r>
            <w:r w:rsidR="00C95BA9">
              <w:rPr>
                <w:noProof/>
                <w:webHidden/>
              </w:rPr>
              <w:fldChar w:fldCharType="separate"/>
            </w:r>
            <w:r w:rsidR="00C95BA9">
              <w:rPr>
                <w:noProof/>
                <w:webHidden/>
              </w:rPr>
              <w:t>16</w:t>
            </w:r>
            <w:r w:rsidR="00C95BA9">
              <w:rPr>
                <w:noProof/>
                <w:webHidden/>
              </w:rPr>
              <w:fldChar w:fldCharType="end"/>
            </w:r>
          </w:hyperlink>
        </w:p>
        <w:p w14:paraId="3C79E46C" w14:textId="77777777" w:rsidR="00C95BA9" w:rsidRDefault="003E40F0" w:rsidP="00C95BA9">
          <w:pPr>
            <w:pStyle w:val="TOC1"/>
            <w:tabs>
              <w:tab w:val="right" w:pos="9350"/>
            </w:tabs>
            <w:spacing w:line="240" w:lineRule="auto"/>
            <w:rPr>
              <w:rFonts w:eastAsiaTheme="minorEastAsia" w:cstheme="minorBidi"/>
              <w:noProof/>
              <w:lang w:val="en-CA"/>
            </w:rPr>
          </w:pPr>
          <w:hyperlink w:anchor="_Toc536628944" w:history="1">
            <w:r w:rsidR="00C95BA9" w:rsidRPr="009825AC">
              <w:rPr>
                <w:rStyle w:val="Hyperlink"/>
                <w:noProof/>
              </w:rPr>
              <w:t>6.2.21. Listing and Sale History</w:t>
            </w:r>
            <w:r w:rsidR="00C95BA9">
              <w:rPr>
                <w:noProof/>
                <w:webHidden/>
              </w:rPr>
              <w:tab/>
            </w:r>
            <w:r w:rsidR="00C95BA9">
              <w:rPr>
                <w:noProof/>
                <w:webHidden/>
              </w:rPr>
              <w:fldChar w:fldCharType="begin"/>
            </w:r>
            <w:r w:rsidR="00C95BA9">
              <w:rPr>
                <w:noProof/>
                <w:webHidden/>
              </w:rPr>
              <w:instrText xml:space="preserve"> PAGEREF _Toc536628944 \h </w:instrText>
            </w:r>
            <w:r w:rsidR="00C95BA9">
              <w:rPr>
                <w:noProof/>
                <w:webHidden/>
              </w:rPr>
            </w:r>
            <w:r w:rsidR="00C95BA9">
              <w:rPr>
                <w:noProof/>
                <w:webHidden/>
              </w:rPr>
              <w:fldChar w:fldCharType="separate"/>
            </w:r>
            <w:r w:rsidR="00C95BA9">
              <w:rPr>
                <w:noProof/>
                <w:webHidden/>
              </w:rPr>
              <w:t>16</w:t>
            </w:r>
            <w:r w:rsidR="00C95BA9">
              <w:rPr>
                <w:noProof/>
                <w:webHidden/>
              </w:rPr>
              <w:fldChar w:fldCharType="end"/>
            </w:r>
          </w:hyperlink>
        </w:p>
        <w:p w14:paraId="2B3CDE20" w14:textId="77777777" w:rsidR="00C95BA9" w:rsidRDefault="003E40F0" w:rsidP="00C95BA9">
          <w:pPr>
            <w:pStyle w:val="TOC1"/>
            <w:tabs>
              <w:tab w:val="right" w:pos="9350"/>
            </w:tabs>
            <w:spacing w:line="240" w:lineRule="auto"/>
            <w:rPr>
              <w:rFonts w:eastAsiaTheme="minorEastAsia" w:cstheme="minorBidi"/>
              <w:noProof/>
              <w:lang w:val="en-CA"/>
            </w:rPr>
          </w:pPr>
          <w:hyperlink w:anchor="_Toc536628945" w:history="1">
            <w:r w:rsidR="00C95BA9" w:rsidRPr="009825AC">
              <w:rPr>
                <w:rStyle w:val="Hyperlink"/>
                <w:noProof/>
              </w:rPr>
              <w:t>6.2.22. Reconciliation</w:t>
            </w:r>
            <w:r w:rsidR="00C95BA9">
              <w:rPr>
                <w:noProof/>
                <w:webHidden/>
              </w:rPr>
              <w:tab/>
            </w:r>
            <w:r w:rsidR="00C95BA9">
              <w:rPr>
                <w:noProof/>
                <w:webHidden/>
              </w:rPr>
              <w:fldChar w:fldCharType="begin"/>
            </w:r>
            <w:r w:rsidR="00C95BA9">
              <w:rPr>
                <w:noProof/>
                <w:webHidden/>
              </w:rPr>
              <w:instrText xml:space="preserve"> PAGEREF _Toc536628945 \h </w:instrText>
            </w:r>
            <w:r w:rsidR="00C95BA9">
              <w:rPr>
                <w:noProof/>
                <w:webHidden/>
              </w:rPr>
            </w:r>
            <w:r w:rsidR="00C95BA9">
              <w:rPr>
                <w:noProof/>
                <w:webHidden/>
              </w:rPr>
              <w:fldChar w:fldCharType="separate"/>
            </w:r>
            <w:r w:rsidR="00C95BA9">
              <w:rPr>
                <w:noProof/>
                <w:webHidden/>
              </w:rPr>
              <w:t>16</w:t>
            </w:r>
            <w:r w:rsidR="00C95BA9">
              <w:rPr>
                <w:noProof/>
                <w:webHidden/>
              </w:rPr>
              <w:fldChar w:fldCharType="end"/>
            </w:r>
          </w:hyperlink>
        </w:p>
        <w:p w14:paraId="592231C3" w14:textId="77777777" w:rsidR="00C95BA9" w:rsidRDefault="003E40F0" w:rsidP="00C95BA9">
          <w:pPr>
            <w:pStyle w:val="TOC1"/>
            <w:tabs>
              <w:tab w:val="right" w:pos="9350"/>
            </w:tabs>
            <w:spacing w:line="240" w:lineRule="auto"/>
            <w:rPr>
              <w:rFonts w:eastAsiaTheme="minorEastAsia" w:cstheme="minorBidi"/>
              <w:noProof/>
              <w:lang w:val="en-CA"/>
            </w:rPr>
          </w:pPr>
          <w:hyperlink w:anchor="_Toc536628946" w:history="1">
            <w:r w:rsidR="00C95BA9" w:rsidRPr="009825AC">
              <w:rPr>
                <w:rStyle w:val="Hyperlink"/>
                <w:noProof/>
              </w:rPr>
              <w:t>6.2.23. Final Value</w:t>
            </w:r>
            <w:r w:rsidR="00C95BA9">
              <w:rPr>
                <w:noProof/>
                <w:webHidden/>
              </w:rPr>
              <w:tab/>
            </w:r>
            <w:r w:rsidR="00C95BA9">
              <w:rPr>
                <w:noProof/>
                <w:webHidden/>
              </w:rPr>
              <w:fldChar w:fldCharType="begin"/>
            </w:r>
            <w:r w:rsidR="00C95BA9">
              <w:rPr>
                <w:noProof/>
                <w:webHidden/>
              </w:rPr>
              <w:instrText xml:space="preserve"> PAGEREF _Toc536628946 \h </w:instrText>
            </w:r>
            <w:r w:rsidR="00C95BA9">
              <w:rPr>
                <w:noProof/>
                <w:webHidden/>
              </w:rPr>
            </w:r>
            <w:r w:rsidR="00C95BA9">
              <w:rPr>
                <w:noProof/>
                <w:webHidden/>
              </w:rPr>
              <w:fldChar w:fldCharType="separate"/>
            </w:r>
            <w:r w:rsidR="00C95BA9">
              <w:rPr>
                <w:noProof/>
                <w:webHidden/>
              </w:rPr>
              <w:t>17</w:t>
            </w:r>
            <w:r w:rsidR="00C95BA9">
              <w:rPr>
                <w:noProof/>
                <w:webHidden/>
              </w:rPr>
              <w:fldChar w:fldCharType="end"/>
            </w:r>
          </w:hyperlink>
        </w:p>
        <w:p w14:paraId="0FDBF244" w14:textId="77777777" w:rsidR="00C95BA9" w:rsidRDefault="003E40F0" w:rsidP="00C95BA9">
          <w:pPr>
            <w:pStyle w:val="TOC1"/>
            <w:tabs>
              <w:tab w:val="right" w:pos="9350"/>
            </w:tabs>
            <w:spacing w:line="240" w:lineRule="auto"/>
            <w:rPr>
              <w:rFonts w:eastAsiaTheme="minorEastAsia" w:cstheme="minorBidi"/>
              <w:noProof/>
              <w:lang w:val="en-CA"/>
            </w:rPr>
          </w:pPr>
          <w:hyperlink w:anchor="_Toc536628947" w:history="1">
            <w:r w:rsidR="00C95BA9" w:rsidRPr="009825AC">
              <w:rPr>
                <w:rStyle w:val="Hyperlink"/>
                <w:noProof/>
              </w:rPr>
              <w:t>6.2.24. Certification</w:t>
            </w:r>
            <w:r w:rsidR="00C95BA9">
              <w:rPr>
                <w:noProof/>
                <w:webHidden/>
              </w:rPr>
              <w:tab/>
            </w:r>
            <w:r w:rsidR="00C95BA9">
              <w:rPr>
                <w:noProof/>
                <w:webHidden/>
              </w:rPr>
              <w:fldChar w:fldCharType="begin"/>
            </w:r>
            <w:r w:rsidR="00C95BA9">
              <w:rPr>
                <w:noProof/>
                <w:webHidden/>
              </w:rPr>
              <w:instrText xml:space="preserve"> PAGEREF _Toc536628947 \h </w:instrText>
            </w:r>
            <w:r w:rsidR="00C95BA9">
              <w:rPr>
                <w:noProof/>
                <w:webHidden/>
              </w:rPr>
            </w:r>
            <w:r w:rsidR="00C95BA9">
              <w:rPr>
                <w:noProof/>
                <w:webHidden/>
              </w:rPr>
              <w:fldChar w:fldCharType="separate"/>
            </w:r>
            <w:r w:rsidR="00C95BA9">
              <w:rPr>
                <w:noProof/>
                <w:webHidden/>
              </w:rPr>
              <w:t>17</w:t>
            </w:r>
            <w:r w:rsidR="00C95BA9">
              <w:rPr>
                <w:noProof/>
                <w:webHidden/>
              </w:rPr>
              <w:fldChar w:fldCharType="end"/>
            </w:r>
          </w:hyperlink>
        </w:p>
        <w:p w14:paraId="03E9C7D0" w14:textId="77777777" w:rsidR="00C95BA9" w:rsidRDefault="003E40F0" w:rsidP="00C95BA9">
          <w:pPr>
            <w:pStyle w:val="TOC1"/>
            <w:tabs>
              <w:tab w:val="right" w:pos="9350"/>
            </w:tabs>
            <w:spacing w:line="240" w:lineRule="auto"/>
            <w:rPr>
              <w:rFonts w:eastAsiaTheme="minorEastAsia" w:cstheme="minorBidi"/>
              <w:noProof/>
              <w:lang w:val="en-CA"/>
            </w:rPr>
          </w:pPr>
          <w:hyperlink w:anchor="_Toc536628948" w:history="1">
            <w:r w:rsidR="00C95BA9" w:rsidRPr="009825AC">
              <w:rPr>
                <w:rStyle w:val="Hyperlink"/>
                <w:noProof/>
              </w:rPr>
              <w:t>Further Comments:</w:t>
            </w:r>
            <w:r w:rsidR="00C95BA9">
              <w:rPr>
                <w:noProof/>
                <w:webHidden/>
              </w:rPr>
              <w:tab/>
            </w:r>
            <w:r w:rsidR="00C95BA9">
              <w:rPr>
                <w:noProof/>
                <w:webHidden/>
              </w:rPr>
              <w:fldChar w:fldCharType="begin"/>
            </w:r>
            <w:r w:rsidR="00C95BA9">
              <w:rPr>
                <w:noProof/>
                <w:webHidden/>
              </w:rPr>
              <w:instrText xml:space="preserve"> PAGEREF _Toc536628948 \h </w:instrText>
            </w:r>
            <w:r w:rsidR="00C95BA9">
              <w:rPr>
                <w:noProof/>
                <w:webHidden/>
              </w:rPr>
            </w:r>
            <w:r w:rsidR="00C95BA9">
              <w:rPr>
                <w:noProof/>
                <w:webHidden/>
              </w:rPr>
              <w:fldChar w:fldCharType="separate"/>
            </w:r>
            <w:r w:rsidR="00C95BA9">
              <w:rPr>
                <w:noProof/>
                <w:webHidden/>
              </w:rPr>
              <w:t>17</w:t>
            </w:r>
            <w:r w:rsidR="00C95BA9">
              <w:rPr>
                <w:noProof/>
                <w:webHidden/>
              </w:rPr>
              <w:fldChar w:fldCharType="end"/>
            </w:r>
          </w:hyperlink>
        </w:p>
        <w:p w14:paraId="18E9A8C3" w14:textId="63513B7C" w:rsidR="00080CED" w:rsidRPr="00615BA5" w:rsidRDefault="00080CED" w:rsidP="00C95BA9">
          <w:pPr>
            <w:pStyle w:val="TOC1"/>
            <w:tabs>
              <w:tab w:val="right" w:pos="10710"/>
            </w:tabs>
            <w:spacing w:line="240" w:lineRule="auto"/>
          </w:pPr>
          <w:r w:rsidRPr="00615BA5">
            <w:rPr>
              <w:noProof/>
            </w:rPr>
            <w:fldChar w:fldCharType="end"/>
          </w:r>
        </w:p>
      </w:sdtContent>
    </w:sdt>
    <w:p w14:paraId="0FA74CD1" w14:textId="0A49BF00" w:rsidR="00080CED" w:rsidRPr="00615BA5" w:rsidRDefault="00080CED" w:rsidP="00C95BA9">
      <w:pPr>
        <w:spacing w:before="0" w:after="0" w:line="240" w:lineRule="auto"/>
        <w:jc w:val="center"/>
      </w:pPr>
    </w:p>
    <w:p w14:paraId="5331F29D" w14:textId="77777777" w:rsidR="00C95BA9" w:rsidRDefault="00C95BA9">
      <w:pPr>
        <w:spacing w:before="0" w:after="160" w:line="259" w:lineRule="auto"/>
        <w:ind w:left="0"/>
        <w:rPr>
          <w:rFonts w:asciiTheme="majorHAnsi" w:eastAsiaTheme="majorEastAsia" w:hAnsiTheme="majorHAnsi" w:cstheme="majorBidi"/>
          <w:b/>
          <w:color w:val="004990"/>
          <w:sz w:val="32"/>
          <w:szCs w:val="32"/>
        </w:rPr>
      </w:pPr>
      <w:bookmarkStart w:id="0" w:name="_Toc536628923"/>
      <w:r>
        <w:br w:type="page"/>
      </w:r>
    </w:p>
    <w:p w14:paraId="203A9976" w14:textId="5B89DEB7" w:rsidR="00080CED" w:rsidRPr="00615BA5" w:rsidRDefault="00080CED" w:rsidP="00C95BA9">
      <w:pPr>
        <w:pStyle w:val="Heading1"/>
        <w:spacing w:line="240" w:lineRule="auto"/>
      </w:pPr>
      <w:r w:rsidRPr="00615BA5">
        <w:lastRenderedPageBreak/>
        <w:t>Introduction</w:t>
      </w:r>
      <w:bookmarkEnd w:id="0"/>
    </w:p>
    <w:p w14:paraId="031E0BCD" w14:textId="1B5D2FD2" w:rsidR="00080CED" w:rsidRPr="00615BA5" w:rsidRDefault="00080CED" w:rsidP="00C95BA9">
      <w:pPr>
        <w:spacing w:line="240" w:lineRule="auto"/>
      </w:pPr>
      <w:r w:rsidRPr="00615BA5">
        <w:t>Th</w:t>
      </w:r>
      <w:r w:rsidR="00615BA5">
        <w:t>e</w:t>
      </w:r>
      <w:r w:rsidRPr="00615BA5">
        <w:t xml:space="preserve"> following are Common Problems related to </w:t>
      </w:r>
      <w:r w:rsidRPr="00615BA5">
        <w:rPr>
          <w:i/>
          <w:iCs/>
        </w:rPr>
        <w:t>Canadian Uniform Standards of Professional Appraisal Practice</w:t>
      </w:r>
      <w:r w:rsidR="00602735">
        <w:rPr>
          <w:i/>
          <w:iCs/>
        </w:rPr>
        <w:t xml:space="preserve"> </w:t>
      </w:r>
      <w:r w:rsidR="005B7268">
        <w:rPr>
          <w:iCs/>
        </w:rPr>
        <w:t>identified</w:t>
      </w:r>
      <w:r w:rsidR="00602735">
        <w:rPr>
          <w:iCs/>
        </w:rPr>
        <w:t xml:space="preserve"> by Peer Reviewers during the Work Product Review program</w:t>
      </w:r>
      <w:r w:rsidR="005B7268">
        <w:rPr>
          <w:iCs/>
        </w:rPr>
        <w:t xml:space="preserve"> </w:t>
      </w:r>
      <w:r w:rsidR="00602735">
        <w:rPr>
          <w:iCs/>
        </w:rPr>
        <w:t>(WPR)</w:t>
      </w:r>
      <w:r w:rsidRPr="00615BA5">
        <w:t xml:space="preserve">.  The items are listed in order </w:t>
      </w:r>
      <w:r w:rsidR="00615BA5">
        <w:t>corresponding to</w:t>
      </w:r>
      <w:r w:rsidR="00615BA5" w:rsidRPr="00615BA5">
        <w:t xml:space="preserve"> </w:t>
      </w:r>
      <w:r w:rsidRPr="00615BA5">
        <w:t xml:space="preserve">the </w:t>
      </w:r>
      <w:r w:rsidR="00D011EB" w:rsidRPr="00615BA5">
        <w:t xml:space="preserve">24 </w:t>
      </w:r>
      <w:r w:rsidR="00615BA5">
        <w:t xml:space="preserve">Real Property </w:t>
      </w:r>
      <w:r w:rsidR="00D011EB" w:rsidRPr="00615BA5">
        <w:t xml:space="preserve">Appraisal Standard Rules.  While most comments relate to residential form appraisals, similar issues may exist in other </w:t>
      </w:r>
      <w:r w:rsidR="008324AD">
        <w:t>S</w:t>
      </w:r>
      <w:r w:rsidR="00D011EB" w:rsidRPr="00615BA5">
        <w:t xml:space="preserve">tandards or report types. </w:t>
      </w:r>
    </w:p>
    <w:p w14:paraId="32B77956" w14:textId="6243AD90" w:rsidR="00D011EB" w:rsidRPr="00615BA5" w:rsidRDefault="006D2C0B" w:rsidP="00C95BA9">
      <w:pPr>
        <w:spacing w:line="240" w:lineRule="auto"/>
      </w:pPr>
      <w:r>
        <w:t>See</w:t>
      </w:r>
      <w:r w:rsidR="00D011EB" w:rsidRPr="00615BA5">
        <w:t xml:space="preserve"> the A-Z</w:t>
      </w:r>
      <w:r w:rsidR="008324AD">
        <w:t xml:space="preserve"> Resource Library</w:t>
      </w:r>
      <w:r w:rsidR="00D011EB" w:rsidRPr="00615BA5">
        <w:t xml:space="preserve">, Professional Excellence Bulletins, Peer Review Summaries, Communiques, CPV magazine and the </w:t>
      </w:r>
      <w:proofErr w:type="spellStart"/>
      <w:r w:rsidR="00D011EB" w:rsidRPr="00615BA5">
        <w:t>Lum</w:t>
      </w:r>
      <w:proofErr w:type="spellEnd"/>
      <w:r w:rsidR="00D011EB" w:rsidRPr="00615BA5">
        <w:t xml:space="preserve"> Library</w:t>
      </w:r>
      <w:r w:rsidR="008324AD">
        <w:t xml:space="preserve"> found on the AIC website</w:t>
      </w:r>
      <w:r>
        <w:t>:</w:t>
      </w:r>
    </w:p>
    <w:p w14:paraId="43B6A51F" w14:textId="77777777" w:rsidR="00D011EB" w:rsidRPr="00615BA5" w:rsidRDefault="003E40F0" w:rsidP="00C95BA9">
      <w:pPr>
        <w:spacing w:line="240" w:lineRule="auto"/>
      </w:pPr>
      <w:hyperlink r:id="rId7" w:history="1">
        <w:r w:rsidR="00D011EB" w:rsidRPr="00615BA5">
          <w:rPr>
            <w:rStyle w:val="Hyperlink"/>
          </w:rPr>
          <w:t>https://www.aicanada.ca/members-home/professional-practice-resources/</w:t>
        </w:r>
      </w:hyperlink>
    </w:p>
    <w:p w14:paraId="50E96EAD" w14:textId="77777777" w:rsidR="00D011EB" w:rsidRPr="00615BA5" w:rsidRDefault="003E40F0" w:rsidP="00C95BA9">
      <w:pPr>
        <w:spacing w:line="240" w:lineRule="auto"/>
      </w:pPr>
      <w:hyperlink r:id="rId8" w:history="1">
        <w:r w:rsidR="00D011EB" w:rsidRPr="00615BA5">
          <w:rPr>
            <w:rStyle w:val="Hyperlink"/>
          </w:rPr>
          <w:t>https://www.aicanada.ca/members-home/professional-practice-resources/professional-excellence-bulletins/</w:t>
        </w:r>
      </w:hyperlink>
    </w:p>
    <w:p w14:paraId="2647C994" w14:textId="77777777" w:rsidR="00D011EB" w:rsidRPr="00615BA5" w:rsidRDefault="003E40F0" w:rsidP="00C95BA9">
      <w:pPr>
        <w:spacing w:line="240" w:lineRule="auto"/>
      </w:pPr>
      <w:hyperlink r:id="rId9" w:history="1">
        <w:r w:rsidR="00D011EB" w:rsidRPr="00615BA5">
          <w:rPr>
            <w:rStyle w:val="Hyperlink"/>
          </w:rPr>
          <w:t>https://www.aicanada.ca/peer-review-summaries/</w:t>
        </w:r>
      </w:hyperlink>
    </w:p>
    <w:p w14:paraId="2B0CE75E" w14:textId="77777777" w:rsidR="00D011EB" w:rsidRPr="00615BA5" w:rsidRDefault="003E40F0" w:rsidP="00C95BA9">
      <w:pPr>
        <w:spacing w:line="240" w:lineRule="auto"/>
      </w:pPr>
      <w:hyperlink r:id="rId10" w:history="1">
        <w:r w:rsidR="00D011EB" w:rsidRPr="00615BA5">
          <w:rPr>
            <w:rStyle w:val="Hyperlink"/>
          </w:rPr>
          <w:t>https://www.aicanada.ca/members-home/professional-practice-resources/communique-library/</w:t>
        </w:r>
      </w:hyperlink>
    </w:p>
    <w:p w14:paraId="2914C842" w14:textId="77777777" w:rsidR="00D011EB" w:rsidRPr="00615BA5" w:rsidRDefault="003E40F0" w:rsidP="00C95BA9">
      <w:pPr>
        <w:spacing w:line="240" w:lineRule="auto"/>
      </w:pPr>
      <w:hyperlink r:id="rId11" w:history="1">
        <w:r w:rsidR="00D011EB" w:rsidRPr="00615BA5">
          <w:rPr>
            <w:rStyle w:val="Hyperlink"/>
          </w:rPr>
          <w:t>https://www.aicanada.ca/about-aic/canadian-property-valuation-magazine/</w:t>
        </w:r>
      </w:hyperlink>
    </w:p>
    <w:p w14:paraId="1D534DEA" w14:textId="77777777" w:rsidR="00D011EB" w:rsidRPr="00615BA5" w:rsidRDefault="003E40F0" w:rsidP="00C95BA9">
      <w:pPr>
        <w:spacing w:line="240" w:lineRule="auto"/>
      </w:pPr>
      <w:hyperlink r:id="rId12" w:history="1">
        <w:r w:rsidR="00D011EB" w:rsidRPr="00615BA5">
          <w:rPr>
            <w:rStyle w:val="Hyperlink"/>
          </w:rPr>
          <w:t>http://appraisal.softlinkliberty.net/liberty/libraryHome.do</w:t>
        </w:r>
      </w:hyperlink>
    </w:p>
    <w:p w14:paraId="2B849000" w14:textId="77777777" w:rsidR="00080CED" w:rsidRPr="00615BA5" w:rsidRDefault="00080CED" w:rsidP="00C95BA9">
      <w:pPr>
        <w:pStyle w:val="Heading1"/>
        <w:spacing w:line="240" w:lineRule="auto"/>
      </w:pPr>
      <w:bookmarkStart w:id="1" w:name="_Toc536628924"/>
      <w:r w:rsidRPr="00615BA5">
        <w:t>6.2.1. Client and Intended User</w:t>
      </w:r>
      <w:bookmarkEnd w:id="1"/>
    </w:p>
    <w:p w14:paraId="1795269F" w14:textId="596650E4" w:rsidR="002F18F8" w:rsidRPr="00615BA5" w:rsidRDefault="002F18F8" w:rsidP="00C95BA9">
      <w:pPr>
        <w:spacing w:line="240" w:lineRule="auto"/>
      </w:pPr>
      <w:r w:rsidRPr="006A3D41">
        <w:rPr>
          <w:b/>
        </w:rPr>
        <w:t xml:space="preserve">6.2.1: </w:t>
      </w:r>
      <w:r w:rsidR="008324AD" w:rsidRPr="006A3D41">
        <w:rPr>
          <w:b/>
        </w:rPr>
        <w:t>In a report, a Member must</w:t>
      </w:r>
      <w:r w:rsidRPr="006A3D41">
        <w:rPr>
          <w:b/>
        </w:rPr>
        <w:t xml:space="preserve"> identify the client by name and intended user by name;</w:t>
      </w:r>
      <w:r w:rsidRPr="00615BA5">
        <w:t xml:space="preserve">  </w:t>
      </w:r>
    </w:p>
    <w:p w14:paraId="4FF75456" w14:textId="0C6C3F23" w:rsidR="002F18F8" w:rsidRPr="00A05EB4" w:rsidRDefault="002F18F8" w:rsidP="00C95BA9">
      <w:pPr>
        <w:spacing w:line="240" w:lineRule="auto"/>
      </w:pPr>
      <w:r w:rsidRPr="00DF6D1E">
        <w:t>A Client/Intended User should not be identified as the Lender ABC and AMC</w:t>
      </w:r>
      <w:r w:rsidR="00D011EB" w:rsidRPr="00DF6D1E">
        <w:t xml:space="preserve"> in a financing form report</w:t>
      </w:r>
      <w:r w:rsidRPr="00DF6D1E">
        <w:t xml:space="preserve">.  </w:t>
      </w:r>
      <w:r w:rsidR="00A05EB4">
        <w:t>The identification of</w:t>
      </w:r>
      <w:r w:rsidRPr="00DF6D1E">
        <w:t xml:space="preserve"> an AMC</w:t>
      </w:r>
      <w:r w:rsidR="00A05EB4">
        <w:t xml:space="preserve"> as a client and/or intended user can give</w:t>
      </w:r>
      <w:r w:rsidRPr="00DF6D1E">
        <w:t xml:space="preserve"> them authority to rely on your report </w:t>
      </w:r>
      <w:r w:rsidR="00A05EB4">
        <w:t xml:space="preserve">and </w:t>
      </w:r>
      <w:r w:rsidRPr="00DF6D1E">
        <w:t xml:space="preserve">as </w:t>
      </w:r>
      <w:r w:rsidR="00A05EB4">
        <w:t>a result,</w:t>
      </w:r>
      <w:r w:rsidRPr="00DF6D1E">
        <w:t xml:space="preserve"> </w:t>
      </w:r>
      <w:r w:rsidR="00A05EB4">
        <w:t>extending</w:t>
      </w:r>
      <w:r w:rsidR="00A05EB4" w:rsidRPr="00DF6D1E">
        <w:t xml:space="preserve"> </w:t>
      </w:r>
      <w:r w:rsidRPr="00DF6D1E">
        <w:t>liability to an agent.</w:t>
      </w:r>
    </w:p>
    <w:p w14:paraId="5E6B5862" w14:textId="48221DAB" w:rsidR="002F18F8" w:rsidRPr="00615BA5" w:rsidRDefault="002F18F8" w:rsidP="00C95BA9">
      <w:pPr>
        <w:spacing w:line="240" w:lineRule="auto"/>
      </w:pPr>
      <w:r w:rsidRPr="00A05EB4">
        <w:t xml:space="preserve">In order to protect </w:t>
      </w:r>
      <w:r w:rsidR="00A05EB4">
        <w:t xml:space="preserve">the </w:t>
      </w:r>
      <w:r w:rsidRPr="00A05EB4">
        <w:t xml:space="preserve">use of the report and limit </w:t>
      </w:r>
      <w:r w:rsidRPr="00615BA5">
        <w:t>liability, we recommend that the</w:t>
      </w:r>
      <w:r w:rsidR="00A05EB4">
        <w:t xml:space="preserve"> participants in the assignment be identified as follows</w:t>
      </w:r>
      <w:r w:rsidRPr="00615BA5">
        <w:t>:</w:t>
      </w:r>
    </w:p>
    <w:p w14:paraId="572A8C14" w14:textId="5FD91085" w:rsidR="002F18F8" w:rsidRPr="00615BA5" w:rsidRDefault="002F18F8" w:rsidP="00C95BA9">
      <w:pPr>
        <w:tabs>
          <w:tab w:val="left" w:pos="1710"/>
        </w:tabs>
        <w:spacing w:line="240" w:lineRule="auto"/>
      </w:pPr>
      <w:r w:rsidRPr="00615BA5">
        <w:t xml:space="preserve">Client </w:t>
      </w:r>
      <w:r w:rsidRPr="00615BA5">
        <w:tab/>
        <w:t>= ABC Lender</w:t>
      </w:r>
    </w:p>
    <w:p w14:paraId="164CCB5C" w14:textId="77777777" w:rsidR="002F18F8" w:rsidRPr="00615BA5" w:rsidRDefault="002F18F8" w:rsidP="00C95BA9">
      <w:pPr>
        <w:tabs>
          <w:tab w:val="left" w:pos="1710"/>
        </w:tabs>
        <w:spacing w:line="240" w:lineRule="auto"/>
      </w:pPr>
      <w:r w:rsidRPr="00615BA5">
        <w:t>Intended User</w:t>
      </w:r>
      <w:r w:rsidRPr="00615BA5">
        <w:tab/>
        <w:t>= ABC Lender</w:t>
      </w:r>
    </w:p>
    <w:p w14:paraId="1B225813" w14:textId="77777777" w:rsidR="002F18F8" w:rsidRPr="00615BA5" w:rsidRDefault="002F18F8" w:rsidP="00C95BA9">
      <w:pPr>
        <w:tabs>
          <w:tab w:val="left" w:pos="1710"/>
        </w:tabs>
        <w:spacing w:line="240" w:lineRule="auto"/>
      </w:pPr>
      <w:r w:rsidRPr="00615BA5">
        <w:t>Requested by</w:t>
      </w:r>
      <w:r w:rsidRPr="00615BA5">
        <w:tab/>
        <w:t>= ABC Lender/AMC</w:t>
      </w:r>
    </w:p>
    <w:p w14:paraId="0FF3E95A" w14:textId="0D712F1C" w:rsidR="002F18F8" w:rsidRPr="00615BA5" w:rsidRDefault="002F18F8" w:rsidP="00C95BA9">
      <w:pPr>
        <w:spacing w:line="240" w:lineRule="auto"/>
      </w:pPr>
      <w:r w:rsidRPr="00615BA5">
        <w:t>We recommend including:  “</w:t>
      </w:r>
      <w:r w:rsidRPr="00615BA5">
        <w:rPr>
          <w:i/>
        </w:rPr>
        <w:t>Lender ABC only. All Other Users and or Parties Are Denied”</w:t>
      </w:r>
      <w:r w:rsidR="00A05EB4">
        <w:rPr>
          <w:i/>
        </w:rPr>
        <w:t>.</w:t>
      </w:r>
      <w:r w:rsidRPr="00615BA5">
        <w:t xml:space="preserve">  Including the word “only” helps prevent </w:t>
      </w:r>
      <w:r w:rsidR="00A05EB4">
        <w:t>a</w:t>
      </w:r>
      <w:r w:rsidR="00A05EB4" w:rsidRPr="00615BA5">
        <w:t xml:space="preserve"> </w:t>
      </w:r>
      <w:r w:rsidRPr="00615BA5">
        <w:t xml:space="preserve">report from being reassigned and extending your liability.  Some agents, brokers and clients have provided reports to other parties without </w:t>
      </w:r>
      <w:r w:rsidR="00A05EB4">
        <w:t>the author’s</w:t>
      </w:r>
      <w:r w:rsidR="00A05EB4" w:rsidRPr="00615BA5">
        <w:t xml:space="preserve"> </w:t>
      </w:r>
      <w:r w:rsidRPr="00615BA5">
        <w:t>knowledge.</w:t>
      </w:r>
    </w:p>
    <w:p w14:paraId="1B4BE356" w14:textId="77777777" w:rsidR="002F18F8" w:rsidRPr="00615BA5" w:rsidRDefault="002F18F8" w:rsidP="00C95BA9">
      <w:pPr>
        <w:spacing w:line="240" w:lineRule="auto"/>
      </w:pPr>
      <w:r w:rsidRPr="00615BA5">
        <w:t>See Practice Note 18.6.1.</w:t>
      </w:r>
    </w:p>
    <w:p w14:paraId="495D1237" w14:textId="77777777" w:rsidR="002F18F8" w:rsidRPr="00615BA5" w:rsidRDefault="002F18F8" w:rsidP="00C95BA9">
      <w:pPr>
        <w:spacing w:line="240" w:lineRule="auto"/>
      </w:pPr>
      <w:r w:rsidRPr="00615BA5">
        <w:t>See also:</w:t>
      </w:r>
    </w:p>
    <w:p w14:paraId="129095C2" w14:textId="77777777" w:rsidR="002F18F8" w:rsidRPr="00615BA5" w:rsidRDefault="003E40F0" w:rsidP="00C95BA9">
      <w:pPr>
        <w:spacing w:line="240" w:lineRule="auto"/>
      </w:pPr>
      <w:hyperlink r:id="rId13" w:history="1">
        <w:r w:rsidR="002F18F8" w:rsidRPr="00615BA5">
          <w:rPr>
            <w:rStyle w:val="Hyperlink"/>
          </w:rPr>
          <w:t>https://www.aicanada.ca/wp-</w:t>
        </w:r>
        <w:r w:rsidR="002F18F8" w:rsidRPr="00615BA5">
          <w:rPr>
            <w:rStyle w:val="Hyperlink"/>
            <w:color w:val="0000FF"/>
          </w:rPr>
          <w:t>co</w:t>
        </w:r>
        <w:r w:rsidR="002F18F8" w:rsidRPr="00615BA5">
          <w:rPr>
            <w:rStyle w:val="Hyperlink"/>
          </w:rPr>
          <w:t>ntent/uploads/who_is_my_clientv49bk1p36.pdf</w:t>
        </w:r>
      </w:hyperlink>
    </w:p>
    <w:p w14:paraId="4FCDFBC8" w14:textId="77777777" w:rsidR="002F18F8" w:rsidRPr="00615BA5" w:rsidRDefault="003E40F0" w:rsidP="00C95BA9">
      <w:pPr>
        <w:spacing w:line="240" w:lineRule="auto"/>
      </w:pPr>
      <w:hyperlink r:id="rId14" w:history="1">
        <w:r w:rsidR="002F18F8" w:rsidRPr="00615BA5">
          <w:rPr>
            <w:rStyle w:val="Hyperlink"/>
          </w:rPr>
          <w:t>https://www.aicanada.ca/article/stay-out-of-trouble-part-ii/</w:t>
        </w:r>
      </w:hyperlink>
    </w:p>
    <w:p w14:paraId="20753C74" w14:textId="77777777" w:rsidR="003A208B" w:rsidRDefault="003A208B" w:rsidP="00C95BA9">
      <w:pPr>
        <w:spacing w:line="240" w:lineRule="auto"/>
      </w:pPr>
    </w:p>
    <w:p w14:paraId="2C410C5D" w14:textId="77777777" w:rsidR="002F18F8" w:rsidRPr="00615BA5" w:rsidRDefault="002F18F8" w:rsidP="00C95BA9">
      <w:pPr>
        <w:spacing w:line="240" w:lineRule="auto"/>
      </w:pPr>
      <w:r w:rsidRPr="00615BA5">
        <w:t>See the following court cases involving appraisers:</w:t>
      </w:r>
    </w:p>
    <w:p w14:paraId="36E71822" w14:textId="77777777" w:rsidR="00A05EB4" w:rsidRDefault="003E40F0" w:rsidP="00C95BA9">
      <w:pPr>
        <w:spacing w:line="240" w:lineRule="auto"/>
        <w:rPr>
          <w:rStyle w:val="Hyperlink"/>
        </w:rPr>
      </w:pPr>
      <w:hyperlink r:id="rId15" w:history="1">
        <w:r w:rsidR="002F18F8" w:rsidRPr="00615BA5">
          <w:rPr>
            <w:rStyle w:val="Hyperlink"/>
          </w:rPr>
          <w:t>https://www.canlii.org/en/ab/abqb/doc/2016/2016abqb545/2016abqb545.html</w:t>
        </w:r>
      </w:hyperlink>
      <w:r w:rsidR="002F18F8" w:rsidRPr="00615BA5">
        <w:rPr>
          <w:rStyle w:val="Hyperlink"/>
        </w:rPr>
        <w:t xml:space="preserve"> </w:t>
      </w:r>
    </w:p>
    <w:p w14:paraId="5684040E" w14:textId="4A28F952" w:rsidR="002F18F8" w:rsidRPr="00615BA5" w:rsidRDefault="002F18F8" w:rsidP="00C95BA9">
      <w:pPr>
        <w:spacing w:line="240" w:lineRule="auto"/>
      </w:pPr>
      <w:r w:rsidRPr="00615BA5">
        <w:t>(</w:t>
      </w:r>
      <w:r w:rsidR="000F23A4" w:rsidRPr="00615BA5">
        <w:t>Assigning</w:t>
      </w:r>
      <w:r w:rsidRPr="00615BA5">
        <w:t xml:space="preserve"> the appraisal to new mortgagees)</w:t>
      </w:r>
    </w:p>
    <w:p w14:paraId="219C76BD" w14:textId="77777777" w:rsidR="002F18F8" w:rsidRPr="00615BA5" w:rsidRDefault="003E40F0" w:rsidP="00C95BA9">
      <w:pPr>
        <w:spacing w:line="240" w:lineRule="auto"/>
        <w:rPr>
          <w:rStyle w:val="Hyperlink"/>
        </w:rPr>
      </w:pPr>
      <w:hyperlink r:id="rId16" w:history="1">
        <w:r w:rsidR="002F18F8" w:rsidRPr="00615BA5">
          <w:rPr>
            <w:rStyle w:val="Hyperlink"/>
          </w:rPr>
          <w:t>https://www.canlii.org/en/bc/bcsc/doc/2017/2017bcsc768/2017bcsc768.html</w:t>
        </w:r>
      </w:hyperlink>
    </w:p>
    <w:p w14:paraId="0A83E87C" w14:textId="71E60E39" w:rsidR="002F18F8" w:rsidRPr="00615BA5" w:rsidRDefault="002F18F8" w:rsidP="00C95BA9">
      <w:pPr>
        <w:spacing w:line="240" w:lineRule="auto"/>
        <w:rPr>
          <w:rStyle w:val="Hyperlink"/>
        </w:rPr>
      </w:pPr>
      <w:r w:rsidRPr="00615BA5">
        <w:t>(</w:t>
      </w:r>
      <w:r w:rsidR="000F23A4" w:rsidRPr="00615BA5">
        <w:t>First</w:t>
      </w:r>
      <w:r w:rsidRPr="00615BA5">
        <w:t xml:space="preserve"> or second mortgage and leaving the Intended User blank)</w:t>
      </w:r>
    </w:p>
    <w:p w14:paraId="017A9CE4" w14:textId="77777777" w:rsidR="002F18F8" w:rsidRPr="00615BA5" w:rsidRDefault="002F18F8" w:rsidP="00C95BA9">
      <w:pPr>
        <w:spacing w:line="240" w:lineRule="auto"/>
        <w:rPr>
          <w:rStyle w:val="Hyperlink"/>
        </w:rPr>
      </w:pPr>
      <w:r w:rsidRPr="00615BA5">
        <w:rPr>
          <w:rStyle w:val="Hyperlink"/>
        </w:rPr>
        <w:t>https://www.canlii.org/en/bc/bcca/doc/2018/2018bcca151/2018bcca151.html</w:t>
      </w:r>
    </w:p>
    <w:p w14:paraId="3ABA6AF5" w14:textId="77777777" w:rsidR="00A05EB4" w:rsidRDefault="003E40F0" w:rsidP="00C95BA9">
      <w:pPr>
        <w:spacing w:line="240" w:lineRule="auto"/>
      </w:pPr>
      <w:hyperlink r:id="rId17" w:history="1">
        <w:r w:rsidR="002F18F8" w:rsidRPr="00615BA5">
          <w:rPr>
            <w:rStyle w:val="Hyperlink"/>
          </w:rPr>
          <w:t>https://www.canlii.org/en/bc/bcsc/doc/2016/2016bcsc1582/2016bcsc1582.html</w:t>
        </w:r>
      </w:hyperlink>
      <w:r w:rsidR="002F18F8" w:rsidRPr="00615BA5">
        <w:t xml:space="preserve"> </w:t>
      </w:r>
    </w:p>
    <w:p w14:paraId="57E18103" w14:textId="5B39AA9E" w:rsidR="002F18F8" w:rsidRPr="00615BA5" w:rsidRDefault="002F18F8" w:rsidP="00C95BA9">
      <w:pPr>
        <w:spacing w:line="240" w:lineRule="auto"/>
      </w:pPr>
      <w:r w:rsidRPr="00615BA5">
        <w:t>(</w:t>
      </w:r>
      <w:r w:rsidR="000F23A4" w:rsidRPr="00615BA5">
        <w:t>Letter</w:t>
      </w:r>
      <w:r w:rsidRPr="00615BA5">
        <w:t xml:space="preserve"> of </w:t>
      </w:r>
      <w:r w:rsidR="000F23A4">
        <w:t>T</w:t>
      </w:r>
      <w:r w:rsidRPr="00615BA5">
        <w:t>ransmittal)</w:t>
      </w:r>
    </w:p>
    <w:p w14:paraId="251C7B24" w14:textId="77777777" w:rsidR="002F18F8" w:rsidRPr="00615BA5" w:rsidRDefault="002F18F8" w:rsidP="00C95BA9">
      <w:pPr>
        <w:pStyle w:val="Heading1"/>
        <w:spacing w:line="240" w:lineRule="auto"/>
      </w:pPr>
      <w:bookmarkStart w:id="2" w:name="_Toc536628925"/>
      <w:r w:rsidRPr="00615BA5">
        <w:t>6.2.2. Intended Use</w:t>
      </w:r>
      <w:bookmarkEnd w:id="2"/>
    </w:p>
    <w:p w14:paraId="50ACD232" w14:textId="6C195BBC" w:rsidR="002F18F8" w:rsidRPr="00615BA5" w:rsidRDefault="002F18F8" w:rsidP="00C95BA9">
      <w:pPr>
        <w:spacing w:line="240" w:lineRule="auto"/>
      </w:pPr>
      <w:r w:rsidRPr="006A3D41">
        <w:rPr>
          <w:b/>
        </w:rPr>
        <w:t xml:space="preserve">6.2.2: </w:t>
      </w:r>
      <w:r w:rsidR="008324AD" w:rsidRPr="006A3D41">
        <w:rPr>
          <w:b/>
        </w:rPr>
        <w:t>In a report, a Member must</w:t>
      </w:r>
      <w:r w:rsidRPr="006A3D41">
        <w:rPr>
          <w:b/>
        </w:rPr>
        <w:t xml:space="preserve"> </w:t>
      </w:r>
      <w:r w:rsidRPr="006A3D41">
        <w:rPr>
          <w:b/>
          <w:lang w:val="en-CA"/>
        </w:rPr>
        <w:t>identify the client by name and intended user by name;</w:t>
      </w:r>
      <w:r w:rsidRPr="00615BA5">
        <w:rPr>
          <w:lang w:val="en-CA"/>
        </w:rPr>
        <w:t xml:space="preserve"> </w:t>
      </w:r>
    </w:p>
    <w:p w14:paraId="11089D66" w14:textId="5DB2F6AF" w:rsidR="002F18F8" w:rsidRPr="00615BA5" w:rsidRDefault="00A05EB4" w:rsidP="00C95BA9">
      <w:pPr>
        <w:spacing w:line="240" w:lineRule="auto"/>
      </w:pPr>
      <w:r>
        <w:t>Peer Reviewers have noticed that s</w:t>
      </w:r>
      <w:r w:rsidR="002F18F8" w:rsidRPr="00615BA5">
        <w:t>ome reports state "Mortgage Financing Only"</w:t>
      </w:r>
      <w:r>
        <w:t>.  This is</w:t>
      </w:r>
      <w:r w:rsidR="002F18F8" w:rsidRPr="00615BA5">
        <w:t xml:space="preserve"> a very broad </w:t>
      </w:r>
      <w:r>
        <w:t xml:space="preserve">description of </w:t>
      </w:r>
      <w:r w:rsidR="002F18F8" w:rsidRPr="00615BA5">
        <w:t xml:space="preserve">use </w:t>
      </w:r>
      <w:r>
        <w:t>and without qualification it could</w:t>
      </w:r>
      <w:r w:rsidR="002F18F8" w:rsidRPr="00615BA5">
        <w:t xml:space="preserve"> be used for multiple uses such as a first, second, third and even fourth mortgage </w:t>
      </w:r>
      <w:r>
        <w:t xml:space="preserve">- </w:t>
      </w:r>
      <w:r w:rsidR="002F18F8" w:rsidRPr="00615BA5">
        <w:t xml:space="preserve">which do exist.  </w:t>
      </w:r>
      <w:r>
        <w:t xml:space="preserve">Members are advised to determine the type of mortgage </w:t>
      </w:r>
      <w:r w:rsidR="007F6367">
        <w:t xml:space="preserve">and identifying it in a report.  </w:t>
      </w:r>
      <w:r w:rsidR="002F18F8" w:rsidRPr="00615BA5">
        <w:t xml:space="preserve">Claims are </w:t>
      </w:r>
      <w:r w:rsidR="00735408" w:rsidRPr="00615BA5">
        <w:t>typically</w:t>
      </w:r>
      <w:r w:rsidR="002F18F8" w:rsidRPr="00615BA5">
        <w:t xml:space="preserve"> filed on second to fourth mortgages without </w:t>
      </w:r>
      <w:r>
        <w:t>M</w:t>
      </w:r>
      <w:r w:rsidR="002F18F8" w:rsidRPr="00615BA5">
        <w:t>embers realizing this was the intended use.  We recommend restricting the use</w:t>
      </w:r>
      <w:r w:rsidR="007F6367">
        <w:t xml:space="preserve"> of a report to a specific type of mortgage</w:t>
      </w:r>
      <w:r w:rsidR="002F18F8" w:rsidRPr="00615BA5">
        <w:t xml:space="preserve"> and reduc</w:t>
      </w:r>
      <w:r w:rsidR="007F6367">
        <w:t>ing</w:t>
      </w:r>
      <w:r w:rsidR="002F18F8" w:rsidRPr="00615BA5">
        <w:t xml:space="preserve"> your liability by </w:t>
      </w:r>
      <w:r w:rsidR="00734017" w:rsidRPr="00615BA5">
        <w:t>including limitations like</w:t>
      </w:r>
      <w:r w:rsidR="002F18F8" w:rsidRPr="00615BA5">
        <w:t xml:space="preserve">: </w:t>
      </w:r>
    </w:p>
    <w:p w14:paraId="128B09F4" w14:textId="4E9F5737" w:rsidR="002F18F8" w:rsidRPr="00615BA5" w:rsidRDefault="00A05EB4" w:rsidP="00C95BA9">
      <w:pPr>
        <w:spacing w:line="240" w:lineRule="auto"/>
      </w:pPr>
      <w:r>
        <w:t>“</w:t>
      </w:r>
      <w:r w:rsidR="002F18F8" w:rsidRPr="00615BA5">
        <w:t>For Conventional Primary Financing Only. All other uses are denied.</w:t>
      </w:r>
      <w:r>
        <w:t>”</w:t>
      </w:r>
      <w:r w:rsidR="002F18F8" w:rsidRPr="00615BA5">
        <w:t xml:space="preserve"> </w:t>
      </w:r>
    </w:p>
    <w:p w14:paraId="7B099C72" w14:textId="03CB3872" w:rsidR="002F18F8" w:rsidRPr="00615BA5" w:rsidRDefault="00A05EB4" w:rsidP="00C95BA9">
      <w:pPr>
        <w:spacing w:line="240" w:lineRule="auto"/>
      </w:pPr>
      <w:r>
        <w:t>“</w:t>
      </w:r>
      <w:r w:rsidR="002F18F8" w:rsidRPr="00615BA5">
        <w:t xml:space="preserve">For Secondary Financing Only Not </w:t>
      </w:r>
      <w:r w:rsidRPr="00615BA5">
        <w:t>to</w:t>
      </w:r>
      <w:r w:rsidR="002F18F8" w:rsidRPr="00615BA5">
        <w:t xml:space="preserve"> Exceed 85% Loan </w:t>
      </w:r>
      <w:r w:rsidR="007F6367" w:rsidRPr="00615BA5">
        <w:t>to</w:t>
      </w:r>
      <w:r w:rsidR="002F18F8" w:rsidRPr="00615BA5">
        <w:t xml:space="preserve"> Value ratio. All other uses are denied.</w:t>
      </w:r>
      <w:r>
        <w:t>”</w:t>
      </w:r>
    </w:p>
    <w:p w14:paraId="3AC3B434" w14:textId="3D0A31F1" w:rsidR="002F18F8" w:rsidRPr="00615BA5" w:rsidRDefault="00735408" w:rsidP="00C95BA9">
      <w:pPr>
        <w:spacing w:line="240" w:lineRule="auto"/>
      </w:pPr>
      <w:r w:rsidRPr="00615BA5">
        <w:t>If you intend to complete appraisals on high-risk assignments</w:t>
      </w:r>
      <w:r w:rsidR="007F6367">
        <w:t xml:space="preserve"> including those for second, third and fourth mortgage financing</w:t>
      </w:r>
      <w:r w:rsidRPr="00615BA5">
        <w:t>, you should adjust your business practice accordingly.</w:t>
      </w:r>
    </w:p>
    <w:p w14:paraId="6F1F2D7F" w14:textId="77777777" w:rsidR="00735408" w:rsidRPr="00615BA5" w:rsidRDefault="00735408" w:rsidP="00C95BA9">
      <w:pPr>
        <w:pStyle w:val="Heading1"/>
        <w:spacing w:line="240" w:lineRule="auto"/>
      </w:pPr>
      <w:bookmarkStart w:id="3" w:name="_Toc536628926"/>
      <w:r w:rsidRPr="00615BA5">
        <w:t>6.2.3. Purpose</w:t>
      </w:r>
      <w:bookmarkEnd w:id="3"/>
    </w:p>
    <w:p w14:paraId="1A215F65" w14:textId="264126A9" w:rsidR="00735408" w:rsidRPr="00615BA5" w:rsidRDefault="00735408" w:rsidP="00C95BA9">
      <w:pPr>
        <w:spacing w:line="240" w:lineRule="auto"/>
      </w:pPr>
      <w:r w:rsidRPr="006A3D41">
        <w:rPr>
          <w:b/>
        </w:rPr>
        <w:t xml:space="preserve">6.2.3: </w:t>
      </w:r>
      <w:r w:rsidR="008324AD" w:rsidRPr="006A3D41">
        <w:rPr>
          <w:b/>
        </w:rPr>
        <w:t>In a report, a Member must</w:t>
      </w:r>
      <w:r w:rsidRPr="006A3D41">
        <w:rPr>
          <w:b/>
        </w:rPr>
        <w:t xml:space="preserve"> identify the purpose of the assignment, including a relevant definition of value;</w:t>
      </w:r>
      <w:r w:rsidRPr="00615BA5">
        <w:t xml:space="preserve"> </w:t>
      </w:r>
    </w:p>
    <w:p w14:paraId="0D556742" w14:textId="1D898D79" w:rsidR="00735408" w:rsidRPr="00615BA5" w:rsidRDefault="00735408" w:rsidP="00C95BA9">
      <w:pPr>
        <w:spacing w:line="240" w:lineRule="auto"/>
        <w:rPr>
          <w:b/>
          <w:sz w:val="23"/>
          <w:szCs w:val="23"/>
        </w:rPr>
      </w:pPr>
      <w:r w:rsidRPr="00615BA5">
        <w:rPr>
          <w:noProof/>
        </w:rPr>
        <w:t xml:space="preserve">Some reports are not for market value or a variation of market value.  We recommend clarification when unusual, legislated definitions are used or when a reader may have a different expectation of market value.  See </w:t>
      </w:r>
      <w:r w:rsidR="007F6367">
        <w:rPr>
          <w:noProof/>
        </w:rPr>
        <w:t xml:space="preserve">Practice Note </w:t>
      </w:r>
      <w:r w:rsidRPr="00615BA5">
        <w:rPr>
          <w:noProof/>
        </w:rPr>
        <w:t>18.8.</w:t>
      </w:r>
    </w:p>
    <w:p w14:paraId="2A771215" w14:textId="77777777" w:rsidR="00735408" w:rsidRPr="00615BA5" w:rsidRDefault="00735408" w:rsidP="00C95BA9">
      <w:pPr>
        <w:pStyle w:val="Heading1"/>
        <w:spacing w:line="240" w:lineRule="auto"/>
      </w:pPr>
      <w:bookmarkStart w:id="4" w:name="_Toc536628927"/>
      <w:r w:rsidRPr="00615BA5">
        <w:t>6.2.4. Scope</w:t>
      </w:r>
      <w:bookmarkEnd w:id="4"/>
    </w:p>
    <w:p w14:paraId="34FD7790" w14:textId="41051FAB" w:rsidR="00735408" w:rsidRPr="00615BA5" w:rsidRDefault="00735408" w:rsidP="00C95BA9">
      <w:pPr>
        <w:spacing w:line="240" w:lineRule="auto"/>
        <w:rPr>
          <w:lang w:val="en-CA"/>
        </w:rPr>
      </w:pPr>
      <w:r w:rsidRPr="006A3D41">
        <w:rPr>
          <w:b/>
        </w:rPr>
        <w:t xml:space="preserve">6.2.4: </w:t>
      </w:r>
      <w:r w:rsidR="008324AD" w:rsidRPr="006A3D41">
        <w:rPr>
          <w:b/>
        </w:rPr>
        <w:t>In a report, a Member must</w:t>
      </w:r>
      <w:r w:rsidRPr="006A3D41">
        <w:rPr>
          <w:b/>
        </w:rPr>
        <w:t xml:space="preserve"> </w:t>
      </w:r>
      <w:r w:rsidRPr="006A3D41">
        <w:rPr>
          <w:b/>
          <w:lang w:val="en-CA"/>
        </w:rPr>
        <w:t>define the scope of work necessary to complete the assignment;</w:t>
      </w:r>
      <w:r w:rsidRPr="00615BA5">
        <w:rPr>
          <w:lang w:val="en-CA"/>
        </w:rPr>
        <w:t xml:space="preserve"> </w:t>
      </w:r>
    </w:p>
    <w:p w14:paraId="7AE0912C" w14:textId="1E9A4A7B" w:rsidR="00735408" w:rsidRPr="00615BA5" w:rsidRDefault="00735408" w:rsidP="00C95BA9">
      <w:pPr>
        <w:spacing w:line="240" w:lineRule="auto"/>
      </w:pPr>
      <w:r w:rsidRPr="00615BA5">
        <w:t xml:space="preserve">Remember that Scope is the backbone of every appraisal. </w:t>
      </w:r>
      <w:r w:rsidR="007F6367">
        <w:t xml:space="preserve"> </w:t>
      </w:r>
      <w:r w:rsidRPr="00615BA5">
        <w:t>It is designed to let the reader (usually</w:t>
      </w:r>
      <w:r w:rsidR="007F6367">
        <w:t xml:space="preserve"> the</w:t>
      </w:r>
      <w:r w:rsidRPr="00615BA5">
        <w:t xml:space="preserve"> client and </w:t>
      </w:r>
      <w:r w:rsidR="007F6367">
        <w:t xml:space="preserve">the </w:t>
      </w:r>
      <w:r w:rsidRPr="00615BA5">
        <w:t>intended user) know exactly what was or was</w:t>
      </w:r>
      <w:r w:rsidR="007F6367">
        <w:t xml:space="preserve"> not</w:t>
      </w:r>
      <w:r w:rsidRPr="00615BA5">
        <w:t xml:space="preserve"> done in order to complete this assignment.  A common complaint in liability claims is that lawyers may know what the appraiser did, but it is unclear what the appraiser did NOT do.  </w:t>
      </w:r>
    </w:p>
    <w:p w14:paraId="142E383A" w14:textId="44C66C02" w:rsidR="00735408" w:rsidRDefault="00735408" w:rsidP="00C95BA9">
      <w:pPr>
        <w:spacing w:line="240" w:lineRule="auto"/>
        <w:rPr>
          <w:rStyle w:val="Hyperlink"/>
        </w:rPr>
      </w:pPr>
      <w:r w:rsidRPr="00615BA5">
        <w:t>We recommend appraisers include a narrative addendum to explain Scope and other work in the assignment.  A sample scope is found in UBC textbooks and here:</w:t>
      </w:r>
      <w:r w:rsidR="0013738B" w:rsidRPr="00615BA5">
        <w:t xml:space="preserve"> </w:t>
      </w:r>
      <w:hyperlink r:id="rId18" w:history="1">
        <w:r w:rsidRPr="00615BA5">
          <w:rPr>
            <w:rStyle w:val="Hyperlink"/>
          </w:rPr>
          <w:t>https://www.aicanada.ca/forms-templates/</w:t>
        </w:r>
      </w:hyperlink>
      <w:r w:rsidR="00973D81">
        <w:rPr>
          <w:rStyle w:val="Hyperlink"/>
        </w:rPr>
        <w:t xml:space="preserve">    </w:t>
      </w:r>
    </w:p>
    <w:p w14:paraId="63C8F301" w14:textId="3396CDBD" w:rsidR="00973D81" w:rsidRPr="00615BA5" w:rsidRDefault="00973D81" w:rsidP="00C95BA9">
      <w:pPr>
        <w:spacing w:line="240" w:lineRule="auto"/>
      </w:pPr>
      <w:r w:rsidRPr="00973D81">
        <w:t>Remember that the pre-printed Scope on AIC forms are only a basic guide and that you should always provide additional information in a narrative addendum.</w:t>
      </w:r>
    </w:p>
    <w:p w14:paraId="4C2FCAA2" w14:textId="77777777" w:rsidR="00735408" w:rsidRPr="00615BA5" w:rsidRDefault="00735408" w:rsidP="00C95BA9">
      <w:pPr>
        <w:spacing w:line="240" w:lineRule="auto"/>
      </w:pPr>
      <w:r w:rsidRPr="00615BA5">
        <w:t>See the Scope and Limiting Condition Professional Excellence Bulletin:</w:t>
      </w:r>
    </w:p>
    <w:p w14:paraId="607D8037" w14:textId="77777777" w:rsidR="00735408" w:rsidRPr="00615BA5" w:rsidRDefault="003E40F0" w:rsidP="00C95BA9">
      <w:pPr>
        <w:spacing w:line="240" w:lineRule="auto"/>
      </w:pPr>
      <w:hyperlink r:id="rId19" w:history="1">
        <w:r w:rsidR="00735408" w:rsidRPr="00615BA5">
          <w:rPr>
            <w:rStyle w:val="Hyperlink"/>
          </w:rPr>
          <w:t>https://www.aicanada.ca/professional-liability/professional-excellence-bulletins/</w:t>
        </w:r>
      </w:hyperlink>
    </w:p>
    <w:p w14:paraId="01D83075" w14:textId="77777777" w:rsidR="0013738B" w:rsidRPr="003A208B" w:rsidRDefault="0013738B" w:rsidP="00C95BA9">
      <w:pPr>
        <w:pStyle w:val="Heading1"/>
        <w:spacing w:line="240" w:lineRule="auto"/>
      </w:pPr>
      <w:bookmarkStart w:id="5" w:name="_Toc536628928"/>
      <w:r w:rsidRPr="003A208B">
        <w:lastRenderedPageBreak/>
        <w:t>6.2.5.</w:t>
      </w:r>
      <w:r w:rsidRPr="00615BA5">
        <w:t xml:space="preserve"> </w:t>
      </w:r>
      <w:r w:rsidRPr="003A208B">
        <w:t>Exposure Time</w:t>
      </w:r>
      <w:bookmarkEnd w:id="5"/>
    </w:p>
    <w:p w14:paraId="49E1C7D2" w14:textId="77777777" w:rsidR="007F6367" w:rsidRDefault="0013738B" w:rsidP="00C95BA9">
      <w:pPr>
        <w:spacing w:line="240" w:lineRule="auto"/>
      </w:pPr>
      <w:r w:rsidRPr="006A3D41">
        <w:rPr>
          <w:b/>
        </w:rPr>
        <w:t xml:space="preserve">6.2.5: </w:t>
      </w:r>
      <w:r w:rsidR="008324AD" w:rsidRPr="006A3D41">
        <w:rPr>
          <w:b/>
        </w:rPr>
        <w:t>In a report, a Member must</w:t>
      </w:r>
      <w:r w:rsidRPr="006A3D41">
        <w:rPr>
          <w:b/>
        </w:rPr>
        <w:t xml:space="preserve"> provide an analysis of reasonable exposure time linked to a market value opinion;</w:t>
      </w:r>
      <w:r w:rsidRPr="00615BA5">
        <w:t xml:space="preserve"> </w:t>
      </w:r>
    </w:p>
    <w:p w14:paraId="52457507" w14:textId="428337B3" w:rsidR="0013738B" w:rsidRPr="00615BA5" w:rsidRDefault="007F6367" w:rsidP="00C95BA9">
      <w:pPr>
        <w:spacing w:line="240" w:lineRule="auto"/>
      </w:pPr>
      <w:r>
        <w:t>Peer Reviewers have noted that i</w:t>
      </w:r>
      <w:r w:rsidR="0013738B" w:rsidRPr="00615BA5">
        <w:t xml:space="preserve">n some reports, </w:t>
      </w:r>
      <w:r>
        <w:t xml:space="preserve">the </w:t>
      </w:r>
      <w:proofErr w:type="spellStart"/>
      <w:r w:rsidR="0013738B" w:rsidRPr="00615BA5">
        <w:t>comparables</w:t>
      </w:r>
      <w:proofErr w:type="spellEnd"/>
      <w:r w:rsidR="0013738B" w:rsidRPr="00615BA5">
        <w:t xml:space="preserve"> </w:t>
      </w:r>
      <w:r>
        <w:t xml:space="preserve">used in the Direct Comparable Approach </w:t>
      </w:r>
      <w:r w:rsidR="0013738B" w:rsidRPr="00615BA5">
        <w:t xml:space="preserve">show a Days </w:t>
      </w:r>
      <w:proofErr w:type="gramStart"/>
      <w:r w:rsidR="0013738B" w:rsidRPr="00615BA5">
        <w:t>On</w:t>
      </w:r>
      <w:proofErr w:type="gramEnd"/>
      <w:r w:rsidR="0013738B" w:rsidRPr="00615BA5">
        <w:t xml:space="preserve"> Market ranging from 10 to 30 days, but the report states the Exposure Time for the subject </w:t>
      </w:r>
      <w:r>
        <w:t>is</w:t>
      </w:r>
      <w:r w:rsidR="0013738B" w:rsidRPr="00615BA5">
        <w:t xml:space="preserve"> 30-90 days. </w:t>
      </w:r>
      <w:r w:rsidR="009C241D" w:rsidRPr="00615BA5">
        <w:t>A report should e</w:t>
      </w:r>
      <w:r w:rsidR="0013738B" w:rsidRPr="00615BA5">
        <w:t>xplain how th</w:t>
      </w:r>
      <w:r>
        <w:t>e Exposure Time for the subject</w:t>
      </w:r>
      <w:r w:rsidR="0013738B" w:rsidRPr="00615BA5">
        <w:t xml:space="preserve"> was derived or why the subject has a different </w:t>
      </w:r>
      <w:r>
        <w:t xml:space="preserve">Exposure Time </w:t>
      </w:r>
      <w:r w:rsidR="0013738B" w:rsidRPr="00615BA5">
        <w:t xml:space="preserve">frame from the </w:t>
      </w:r>
      <w:proofErr w:type="spellStart"/>
      <w:r w:rsidR="0013738B" w:rsidRPr="00615BA5">
        <w:t>comparables</w:t>
      </w:r>
      <w:proofErr w:type="spellEnd"/>
      <w:r>
        <w:t>’ days on market timeframe</w:t>
      </w:r>
      <w:r w:rsidR="0013738B" w:rsidRPr="00615BA5">
        <w:t>.</w:t>
      </w:r>
    </w:p>
    <w:p w14:paraId="574D08AD" w14:textId="641723EC" w:rsidR="007F6367" w:rsidRDefault="0013738B" w:rsidP="00C95BA9">
      <w:pPr>
        <w:spacing w:line="240" w:lineRule="auto"/>
      </w:pPr>
      <w:r w:rsidRPr="00615BA5">
        <w:t xml:space="preserve">It is recommended to support the </w:t>
      </w:r>
      <w:r w:rsidR="007F6367">
        <w:t>subject property’s E</w:t>
      </w:r>
      <w:r w:rsidRPr="00615BA5">
        <w:t xml:space="preserve">xposure </w:t>
      </w:r>
      <w:r w:rsidR="007F6367">
        <w:t>T</w:t>
      </w:r>
      <w:r w:rsidRPr="00615BA5">
        <w:t xml:space="preserve">ime </w:t>
      </w:r>
      <w:r w:rsidR="007F6367">
        <w:t>with</w:t>
      </w:r>
      <w:r w:rsidR="007F6367" w:rsidRPr="00615BA5">
        <w:t xml:space="preserve"> </w:t>
      </w:r>
      <w:r w:rsidRPr="00615BA5">
        <w:t>MLS or other online data and explain how the subject</w:t>
      </w:r>
      <w:r w:rsidR="007F6367">
        <w:t xml:space="preserve"> property</w:t>
      </w:r>
      <w:r w:rsidRPr="00615BA5">
        <w:t xml:space="preserve">’s </w:t>
      </w:r>
      <w:r w:rsidR="007F6367">
        <w:t>E</w:t>
      </w:r>
      <w:r w:rsidRPr="00615BA5">
        <w:t xml:space="preserve">xposure </w:t>
      </w:r>
      <w:r w:rsidR="007F6367">
        <w:t>T</w:t>
      </w:r>
      <w:r w:rsidRPr="00615BA5">
        <w:t xml:space="preserve">ime is related to the </w:t>
      </w:r>
      <w:proofErr w:type="spellStart"/>
      <w:r w:rsidR="007F6367">
        <w:t>comparables</w:t>
      </w:r>
      <w:proofErr w:type="spellEnd"/>
      <w:r w:rsidR="007F6367">
        <w:t>’ Days on Market</w:t>
      </w:r>
      <w:r w:rsidRPr="00615BA5">
        <w:t xml:space="preserve">. </w:t>
      </w:r>
      <w:r w:rsidR="000B5EA9" w:rsidRPr="00615BA5">
        <w:t xml:space="preserve"> </w:t>
      </w:r>
    </w:p>
    <w:p w14:paraId="4DA765F5" w14:textId="66CA049A" w:rsidR="0013738B" w:rsidRPr="00615BA5" w:rsidRDefault="007F6367" w:rsidP="00C95BA9">
      <w:pPr>
        <w:spacing w:line="240" w:lineRule="auto"/>
      </w:pPr>
      <w:r>
        <w:t>See</w:t>
      </w:r>
      <w:r w:rsidR="000B5EA9" w:rsidRPr="00615BA5">
        <w:t xml:space="preserve"> statistical information published about market conditions and days on market: </w:t>
      </w:r>
    </w:p>
    <w:p w14:paraId="29FF4EBB" w14:textId="77777777" w:rsidR="000B5EA9" w:rsidRPr="00615BA5" w:rsidRDefault="003E40F0" w:rsidP="00C95BA9">
      <w:pPr>
        <w:spacing w:line="240" w:lineRule="auto"/>
      </w:pPr>
      <w:hyperlink r:id="rId20" w:history="1">
        <w:r w:rsidR="000B5EA9" w:rsidRPr="00615BA5">
          <w:rPr>
            <w:rStyle w:val="Hyperlink"/>
          </w:rPr>
          <w:t>http://creastats.crea.ca/treb/mls04_market.html</w:t>
        </w:r>
      </w:hyperlink>
    </w:p>
    <w:p w14:paraId="427C36E6" w14:textId="77777777" w:rsidR="000B5EA9" w:rsidRPr="00615BA5" w:rsidRDefault="003E40F0" w:rsidP="00C95BA9">
      <w:pPr>
        <w:spacing w:line="240" w:lineRule="auto"/>
      </w:pPr>
      <w:hyperlink r:id="rId21" w:history="1">
        <w:r w:rsidR="000B5EA9" w:rsidRPr="00615BA5">
          <w:rPr>
            <w:rStyle w:val="Hyperlink"/>
          </w:rPr>
          <w:t>https://www.crea.ca/housing-market-stats/mls-home-price-index/hpi-tool/</w:t>
        </w:r>
      </w:hyperlink>
    </w:p>
    <w:p w14:paraId="3252DCAA" w14:textId="6F1F690D" w:rsidR="000B5EA9" w:rsidRPr="00615BA5" w:rsidRDefault="000B5EA9" w:rsidP="00C95BA9">
      <w:pPr>
        <w:spacing w:line="240" w:lineRule="auto"/>
      </w:pPr>
      <w:r w:rsidRPr="00615BA5">
        <w:t>See UBC CPD 117</w:t>
      </w:r>
      <w:r w:rsidR="006D2C0B">
        <w:t>:</w:t>
      </w:r>
      <w:r w:rsidRPr="00615BA5">
        <w:t xml:space="preserve"> Exposure</w:t>
      </w:r>
      <w:r w:rsidR="006D2C0B">
        <w:t xml:space="preserve"> and Marketing Time: Valuation Impacts:</w:t>
      </w:r>
    </w:p>
    <w:p w14:paraId="2FE827B2" w14:textId="77777777" w:rsidR="000B5EA9" w:rsidRPr="00615BA5" w:rsidRDefault="003E40F0" w:rsidP="00C95BA9">
      <w:pPr>
        <w:spacing w:line="240" w:lineRule="auto"/>
      </w:pPr>
      <w:hyperlink r:id="rId22" w:history="1">
        <w:r w:rsidR="000B5EA9" w:rsidRPr="00615BA5">
          <w:rPr>
            <w:rStyle w:val="Hyperlink"/>
          </w:rPr>
          <w:t>http://www.sauder.ubc.ca/Programs/Real_Estate_Division/Credit_Programs_and_Professional_Development_Courses/Professional_Development_Courses</w:t>
        </w:r>
      </w:hyperlink>
    </w:p>
    <w:p w14:paraId="7847AB81" w14:textId="602307A0" w:rsidR="0013738B" w:rsidRDefault="000B5EA9" w:rsidP="00C95BA9">
      <w:pPr>
        <w:spacing w:line="240" w:lineRule="auto"/>
      </w:pPr>
      <w:r w:rsidRPr="00615BA5">
        <w:t>Occasionally b</w:t>
      </w:r>
      <w:r w:rsidR="0013738B" w:rsidRPr="00615BA5">
        <w:t xml:space="preserve">oth </w:t>
      </w:r>
      <w:r w:rsidR="007F6367">
        <w:t>Ex</w:t>
      </w:r>
      <w:r w:rsidR="0013738B" w:rsidRPr="00615BA5">
        <w:t xml:space="preserve">posure and </w:t>
      </w:r>
      <w:r w:rsidR="007F6367">
        <w:t>M</w:t>
      </w:r>
      <w:r w:rsidR="0013738B" w:rsidRPr="00615BA5">
        <w:t xml:space="preserve">arketing </w:t>
      </w:r>
      <w:r w:rsidR="007F6367">
        <w:t>T</w:t>
      </w:r>
      <w:r w:rsidR="0013738B" w:rsidRPr="00615BA5">
        <w:t xml:space="preserve">ime are referred to within the report, so </w:t>
      </w:r>
      <w:r w:rsidR="007F6367">
        <w:t>the</w:t>
      </w:r>
      <w:r w:rsidR="007F6367" w:rsidRPr="00615BA5">
        <w:t xml:space="preserve"> </w:t>
      </w:r>
      <w:r w:rsidR="0013738B" w:rsidRPr="00615BA5">
        <w:t xml:space="preserve">distinction </w:t>
      </w:r>
      <w:r w:rsidR="007F6367">
        <w:t xml:space="preserve">between the two </w:t>
      </w:r>
      <w:r w:rsidR="0013738B" w:rsidRPr="00615BA5">
        <w:t xml:space="preserve">should be made clear.  See CUSPAP 2.17, 2.40 and 7.6.5., and </w:t>
      </w:r>
      <w:r w:rsidR="007F6367">
        <w:t xml:space="preserve">Practice Note </w:t>
      </w:r>
      <w:r w:rsidR="0013738B" w:rsidRPr="00615BA5">
        <w:t>18.13.</w:t>
      </w:r>
    </w:p>
    <w:p w14:paraId="3A0D98D8" w14:textId="77777777" w:rsidR="00973D81" w:rsidRPr="00973D81" w:rsidRDefault="00973D81" w:rsidP="00C95BA9">
      <w:pPr>
        <w:spacing w:line="240" w:lineRule="auto"/>
      </w:pPr>
      <w:r w:rsidRPr="00973D81">
        <w:t xml:space="preserve">Sample exposure time: </w:t>
      </w:r>
    </w:p>
    <w:p w14:paraId="36AD69A4" w14:textId="77777777" w:rsidR="00973D81" w:rsidRPr="00973D81" w:rsidRDefault="00973D81" w:rsidP="00C95BA9">
      <w:pPr>
        <w:spacing w:line="240" w:lineRule="auto"/>
        <w:ind w:left="720"/>
      </w:pPr>
      <w:r w:rsidRPr="00973D81">
        <w:t>“The subject property exposure time is estimated from 60 to 90 days provided that mortgage interest rates, employment, no changes to government policies that may affect lending procedures and or investment and demand remain as they were as of the effective date of this appraisal.  An interview with market participants further supports the exposure time expressed herein.”</w:t>
      </w:r>
    </w:p>
    <w:p w14:paraId="35BA83E2" w14:textId="77777777" w:rsidR="00973D81" w:rsidRPr="00973D81" w:rsidRDefault="00973D81" w:rsidP="00C95BA9">
      <w:pPr>
        <w:spacing w:line="240" w:lineRule="auto"/>
        <w:ind w:left="720"/>
      </w:pPr>
      <w:r w:rsidRPr="00973D81">
        <w:t>“Most of the comparable sales Days on Market range from 9 to 99 days and the local online real estate data supports that for January 2018 that the average single family dwelling sold after listing for on average of 75 days”</w:t>
      </w:r>
    </w:p>
    <w:p w14:paraId="6E9D96D9" w14:textId="77777777" w:rsidR="00973D81" w:rsidRPr="00615BA5" w:rsidRDefault="00973D81" w:rsidP="00C95BA9">
      <w:pPr>
        <w:spacing w:line="240" w:lineRule="auto"/>
      </w:pPr>
    </w:p>
    <w:p w14:paraId="3269110F" w14:textId="77777777" w:rsidR="000B5EA9" w:rsidRPr="00615BA5" w:rsidRDefault="000B5EA9" w:rsidP="00C95BA9">
      <w:pPr>
        <w:pStyle w:val="Heading1"/>
        <w:spacing w:line="240" w:lineRule="auto"/>
      </w:pPr>
      <w:bookmarkStart w:id="6" w:name="_Toc536628929"/>
      <w:r w:rsidRPr="00615BA5">
        <w:t>6.2.6. Effective Date</w:t>
      </w:r>
      <w:bookmarkEnd w:id="6"/>
    </w:p>
    <w:p w14:paraId="03C02AB8" w14:textId="3AE881F5" w:rsidR="000B5EA9" w:rsidRPr="00615BA5" w:rsidRDefault="000B5EA9" w:rsidP="00C95BA9">
      <w:pPr>
        <w:spacing w:line="240" w:lineRule="auto"/>
        <w:rPr>
          <w:lang w:val="en-CA"/>
        </w:rPr>
      </w:pPr>
      <w:r w:rsidRPr="006A3D41">
        <w:rPr>
          <w:b/>
        </w:rPr>
        <w:t xml:space="preserve">6.2.6: </w:t>
      </w:r>
      <w:r w:rsidR="008324AD" w:rsidRPr="006A3D41">
        <w:rPr>
          <w:b/>
        </w:rPr>
        <w:t>In a report, a Member must</w:t>
      </w:r>
      <w:r w:rsidRPr="006A3D41">
        <w:rPr>
          <w:b/>
        </w:rPr>
        <w:t xml:space="preserve"> </w:t>
      </w:r>
      <w:r w:rsidRPr="006A3D41">
        <w:rPr>
          <w:b/>
          <w:lang w:val="en-CA"/>
        </w:rPr>
        <w:t>identify the effective date of the Member’s analyses, opinions and conclusions, and identify whether the opinion is current, retrospective, prospective, or an update;</w:t>
      </w:r>
      <w:r w:rsidRPr="00615BA5">
        <w:rPr>
          <w:lang w:val="en-CA"/>
        </w:rPr>
        <w:t xml:space="preserve"> </w:t>
      </w:r>
    </w:p>
    <w:p w14:paraId="7E338625" w14:textId="04CE5F03" w:rsidR="000B5EA9" w:rsidRPr="00615BA5" w:rsidRDefault="000B5EA9" w:rsidP="00C95BA9">
      <w:pPr>
        <w:spacing w:line="240" w:lineRule="auto"/>
      </w:pPr>
      <w:r w:rsidRPr="00615BA5">
        <w:t xml:space="preserve">The </w:t>
      </w:r>
      <w:r w:rsidR="00602735">
        <w:t xml:space="preserve">A – Z </w:t>
      </w:r>
      <w:r w:rsidRPr="00615BA5">
        <w:rPr>
          <w:iCs/>
        </w:rPr>
        <w:t>Resource Library</w:t>
      </w:r>
      <w:r w:rsidRPr="00615BA5">
        <w:t xml:space="preserve"> on the AIC website provides the CUSPAP references to the term “retrospective” in the following link:</w:t>
      </w:r>
    </w:p>
    <w:p w14:paraId="19AE2737" w14:textId="77777777" w:rsidR="000B5EA9" w:rsidRPr="006A3D41" w:rsidRDefault="003E40F0" w:rsidP="00C95BA9">
      <w:pPr>
        <w:spacing w:line="240" w:lineRule="auto"/>
        <w:rPr>
          <w:rStyle w:val="Hyperlink"/>
        </w:rPr>
      </w:pPr>
      <w:hyperlink r:id="rId23" w:history="1">
        <w:r w:rsidR="000B5EA9" w:rsidRPr="006A3D41">
          <w:rPr>
            <w:rStyle w:val="Hyperlink"/>
          </w:rPr>
          <w:t>https://www.aicanada.ca/members-home/professional-practice-resources/professional-practice-resource-library/#</w:t>
        </w:r>
      </w:hyperlink>
    </w:p>
    <w:p w14:paraId="63A2BF31" w14:textId="77777777" w:rsidR="000B5EA9" w:rsidRPr="00615BA5" w:rsidRDefault="000B5EA9" w:rsidP="00C95BA9">
      <w:pPr>
        <w:pStyle w:val="Heading1"/>
        <w:spacing w:line="240" w:lineRule="auto"/>
      </w:pPr>
      <w:bookmarkStart w:id="7" w:name="_Toc536628930"/>
      <w:r w:rsidRPr="00615BA5">
        <w:t>6.2.7. Report Date</w:t>
      </w:r>
      <w:bookmarkEnd w:id="7"/>
    </w:p>
    <w:p w14:paraId="758D9BD4" w14:textId="64B35D1D" w:rsidR="000B5EA9" w:rsidRPr="006A3D41" w:rsidRDefault="000B5EA9" w:rsidP="00C95BA9">
      <w:pPr>
        <w:spacing w:line="240" w:lineRule="auto"/>
        <w:rPr>
          <w:b/>
        </w:rPr>
      </w:pPr>
      <w:r w:rsidRPr="006A3D41">
        <w:rPr>
          <w:b/>
        </w:rPr>
        <w:t xml:space="preserve">6.2.7: </w:t>
      </w:r>
      <w:r w:rsidR="008324AD" w:rsidRPr="006A3D41">
        <w:rPr>
          <w:b/>
        </w:rPr>
        <w:t>In a report, a Member must</w:t>
      </w:r>
      <w:r w:rsidRPr="006A3D41">
        <w:rPr>
          <w:b/>
        </w:rPr>
        <w:t xml:space="preserve"> identify the date of the report; </w:t>
      </w:r>
    </w:p>
    <w:p w14:paraId="54A01CD5" w14:textId="6206BA80" w:rsidR="000B5EA9" w:rsidRPr="00615BA5" w:rsidRDefault="00267D6D" w:rsidP="00C95BA9">
      <w:pPr>
        <w:spacing w:line="240" w:lineRule="auto"/>
      </w:pPr>
      <w:r>
        <w:lastRenderedPageBreak/>
        <w:t xml:space="preserve">The date of the report </w:t>
      </w:r>
      <w:r w:rsidR="000B5EA9" w:rsidRPr="00615BA5">
        <w:t xml:space="preserve">should be identified in the report and is typically linked to the Letter of Transmittal and the date of signing.  </w:t>
      </w:r>
      <w:r w:rsidR="00602735">
        <w:t>Peer Reviewers have noted that s</w:t>
      </w:r>
      <w:r w:rsidR="000B5EA9" w:rsidRPr="00615BA5">
        <w:t>ome reports are missing a letter of transmittal (different than a reliance letter).</w:t>
      </w:r>
      <w:r w:rsidR="006B7FE2" w:rsidRPr="00615BA5">
        <w:t xml:space="preserve">  </w:t>
      </w:r>
    </w:p>
    <w:p w14:paraId="2DE11603" w14:textId="61AA30D9" w:rsidR="000B5EA9" w:rsidRPr="00615BA5" w:rsidRDefault="006B7FE2" w:rsidP="00C95BA9">
      <w:pPr>
        <w:spacing w:line="240" w:lineRule="auto"/>
        <w:rPr>
          <w:lang w:val="en-CA"/>
        </w:rPr>
      </w:pPr>
      <w:r w:rsidRPr="00615BA5">
        <w:t xml:space="preserve">If you make revisions to your </w:t>
      </w:r>
      <w:r w:rsidR="00602735">
        <w:t xml:space="preserve">report submitted to </w:t>
      </w:r>
      <w:r w:rsidRPr="00615BA5">
        <w:t>WPR or any report, typically the report is re-signed and re-dated and efforts should be made to ensure earlier versions are not used.</w:t>
      </w:r>
    </w:p>
    <w:p w14:paraId="2F163BCB" w14:textId="77777777" w:rsidR="000B5EA9" w:rsidRPr="00615BA5" w:rsidRDefault="000B5EA9" w:rsidP="00C95BA9">
      <w:pPr>
        <w:pStyle w:val="Heading1"/>
        <w:spacing w:line="240" w:lineRule="auto"/>
      </w:pPr>
      <w:bookmarkStart w:id="8" w:name="_Toc536628931"/>
      <w:r w:rsidRPr="00615BA5">
        <w:t>6.2.</w:t>
      </w:r>
      <w:r w:rsidR="00957396" w:rsidRPr="00615BA5">
        <w:t>8</w:t>
      </w:r>
      <w:r w:rsidRPr="00615BA5">
        <w:t xml:space="preserve">. </w:t>
      </w:r>
      <w:r w:rsidR="00957396" w:rsidRPr="00615BA5">
        <w:t>Property Interest and Characteristics</w:t>
      </w:r>
      <w:bookmarkEnd w:id="8"/>
    </w:p>
    <w:p w14:paraId="0300B843" w14:textId="5920F063" w:rsidR="000B5EA9" w:rsidRPr="00615BA5" w:rsidRDefault="000B5EA9" w:rsidP="00C95BA9">
      <w:pPr>
        <w:spacing w:line="240" w:lineRule="auto"/>
        <w:rPr>
          <w:lang w:val="en-CA"/>
        </w:rPr>
      </w:pPr>
      <w:r w:rsidRPr="006A3D41">
        <w:rPr>
          <w:b/>
        </w:rPr>
        <w:t>6.2.</w:t>
      </w:r>
      <w:r w:rsidR="00957396" w:rsidRPr="006A3D41">
        <w:rPr>
          <w:b/>
        </w:rPr>
        <w:t>8</w:t>
      </w:r>
      <w:r w:rsidRPr="006A3D41">
        <w:rPr>
          <w:b/>
        </w:rPr>
        <w:t xml:space="preserve">: </w:t>
      </w:r>
      <w:r w:rsidR="008324AD" w:rsidRPr="006A3D41">
        <w:rPr>
          <w:b/>
        </w:rPr>
        <w:t>In a report, a Member must</w:t>
      </w:r>
      <w:r w:rsidRPr="006A3D41">
        <w:rPr>
          <w:b/>
        </w:rPr>
        <w:t xml:space="preserve"> </w:t>
      </w:r>
      <w:r w:rsidRPr="006A3D41">
        <w:rPr>
          <w:b/>
          <w:lang w:val="en-CA"/>
        </w:rPr>
        <w:t>identify the interest appraised and the location, and describe the characteristics of the property;</w:t>
      </w:r>
      <w:r w:rsidRPr="00615BA5">
        <w:rPr>
          <w:lang w:val="en-CA"/>
        </w:rPr>
        <w:t xml:space="preserve">  </w:t>
      </w:r>
    </w:p>
    <w:p w14:paraId="4DA989D4" w14:textId="6F45F0B7" w:rsidR="000B5EA9" w:rsidRPr="00615BA5" w:rsidRDefault="00602735" w:rsidP="00C95BA9">
      <w:pPr>
        <w:spacing w:line="240" w:lineRule="auto"/>
      </w:pPr>
      <w:r>
        <w:t>Peer Reviewers have noted that s</w:t>
      </w:r>
      <w:r w:rsidR="000B5EA9" w:rsidRPr="00615BA5">
        <w:t>ome reports do not adequately describe the characteristics of the property (see CUSPAP Comment 7.9)</w:t>
      </w:r>
    </w:p>
    <w:p w14:paraId="2094D545" w14:textId="4C88F93B" w:rsidR="00A83A7A" w:rsidRPr="00615BA5" w:rsidRDefault="000B5EA9" w:rsidP="00C95BA9">
      <w:pPr>
        <w:spacing w:line="240" w:lineRule="auto"/>
      </w:pPr>
      <w:r w:rsidRPr="00615BA5">
        <w:t>A report should include a civic address, however it is acceptable to redact the address for WPR reasons.</w:t>
      </w:r>
      <w:r w:rsidR="00A83A7A">
        <w:t xml:space="preserve">    </w:t>
      </w:r>
      <w:proofErr w:type="gramStart"/>
      <w:r w:rsidR="00A83A7A" w:rsidRPr="00A83A7A">
        <w:t>since</w:t>
      </w:r>
      <w:proofErr w:type="gramEnd"/>
      <w:r w:rsidR="00A83A7A" w:rsidRPr="00A83A7A">
        <w:t xml:space="preserve"> the appraiser is already researching a legal description, a PIN number or </w:t>
      </w:r>
      <w:r w:rsidR="00A83A7A">
        <w:t xml:space="preserve">alternate </w:t>
      </w:r>
      <w:r w:rsidR="00A83A7A" w:rsidRPr="00A83A7A">
        <w:t>roll number can serve as a further identifier.</w:t>
      </w:r>
    </w:p>
    <w:p w14:paraId="73836377" w14:textId="097ED152" w:rsidR="00870412" w:rsidRPr="00615BA5" w:rsidRDefault="000B5EA9" w:rsidP="00C95BA9">
      <w:pPr>
        <w:spacing w:line="240" w:lineRule="auto"/>
      </w:pPr>
      <w:r w:rsidRPr="00615BA5">
        <w:t xml:space="preserve">If a report states that </w:t>
      </w:r>
      <w:r w:rsidR="00602735">
        <w:t>“</w:t>
      </w:r>
      <w:r w:rsidRPr="00615BA5">
        <w:t xml:space="preserve">the </w:t>
      </w:r>
      <w:r w:rsidR="00602735">
        <w:t>appraiser</w:t>
      </w:r>
      <w:r w:rsidR="00602735" w:rsidRPr="00615BA5">
        <w:t xml:space="preserve"> </w:t>
      </w:r>
      <w:r w:rsidRPr="00615BA5">
        <w:t>has not inspected this property</w:t>
      </w:r>
      <w:r w:rsidR="00602735">
        <w:t>”</w:t>
      </w:r>
      <w:r w:rsidRPr="00615BA5">
        <w:t xml:space="preserve"> (see 7.5.1. and 18.23), the report should clearly </w:t>
      </w:r>
      <w:r w:rsidR="00602735">
        <w:t xml:space="preserve">identify the </w:t>
      </w:r>
      <w:r w:rsidRPr="00615BA5">
        <w:t>source</w:t>
      </w:r>
      <w:r w:rsidR="00602735">
        <w:t>s</w:t>
      </w:r>
      <w:r w:rsidRPr="00615BA5">
        <w:t xml:space="preserve"> </w:t>
      </w:r>
      <w:r w:rsidR="00602735">
        <w:t>from which</w:t>
      </w:r>
      <w:r w:rsidRPr="00615BA5">
        <w:t xml:space="preserve"> the property characteristics have been obtained.</w:t>
      </w:r>
    </w:p>
    <w:p w14:paraId="128BC88A" w14:textId="6130F5E1" w:rsidR="000B5EA9" w:rsidRPr="00615BA5" w:rsidRDefault="000B5EA9" w:rsidP="00C95BA9">
      <w:pPr>
        <w:spacing w:line="240" w:lineRule="auto"/>
      </w:pPr>
      <w:r w:rsidRPr="00615BA5">
        <w:t>Some report</w:t>
      </w:r>
      <w:r w:rsidR="00602735">
        <w:t>s</w:t>
      </w:r>
      <w:r w:rsidRPr="00615BA5">
        <w:t xml:space="preserve"> indicate measurements were taken from MLS/MPAC/BC Assessment.  We recommend </w:t>
      </w:r>
      <w:r w:rsidR="00602735">
        <w:t xml:space="preserve">that the appraiser perform a physical </w:t>
      </w:r>
      <w:r w:rsidRPr="00615BA5">
        <w:t>measurement of buildings unless the other sources are reliable.</w:t>
      </w:r>
    </w:p>
    <w:p w14:paraId="179916CC" w14:textId="28FF2875" w:rsidR="000B5EA9" w:rsidRPr="00615BA5" w:rsidRDefault="000B5EA9" w:rsidP="00C95BA9">
      <w:pPr>
        <w:spacing w:line="240" w:lineRule="auto"/>
      </w:pPr>
      <w:r w:rsidRPr="00615BA5">
        <w:t>See</w:t>
      </w:r>
      <w:r w:rsidR="006D2C0B">
        <w:t>:</w:t>
      </w:r>
      <w:r w:rsidRPr="00615BA5">
        <w:t xml:space="preserve"> </w:t>
      </w:r>
      <w:hyperlink r:id="rId24" w:history="1">
        <w:r w:rsidRPr="00615BA5">
          <w:rPr>
            <w:rStyle w:val="Hyperlink"/>
          </w:rPr>
          <w:t>https://www.aicanada.ca/professional-practice/measurement-practices/</w:t>
        </w:r>
      </w:hyperlink>
    </w:p>
    <w:p w14:paraId="670C6095" w14:textId="77777777" w:rsidR="000B5EA9" w:rsidRPr="00615BA5" w:rsidRDefault="000B5EA9" w:rsidP="00C95BA9">
      <w:pPr>
        <w:spacing w:line="240" w:lineRule="auto"/>
      </w:pPr>
      <w:r w:rsidRPr="00615BA5">
        <w:t>See “Measurement Practices” Professional Excellence Bulletin:</w:t>
      </w:r>
    </w:p>
    <w:p w14:paraId="60E2111D" w14:textId="77777777" w:rsidR="000B5EA9" w:rsidRPr="00615BA5" w:rsidRDefault="003E40F0" w:rsidP="00C95BA9">
      <w:pPr>
        <w:spacing w:line="240" w:lineRule="auto"/>
        <w:rPr>
          <w:rStyle w:val="Hyperlink"/>
        </w:rPr>
      </w:pPr>
      <w:hyperlink r:id="rId25" w:history="1">
        <w:r w:rsidR="000B5EA9" w:rsidRPr="00615BA5">
          <w:rPr>
            <w:rStyle w:val="Hyperlink"/>
          </w:rPr>
          <w:t>https://www.aicanada.ca/professional-liability/professional-excellence-bulletins/</w:t>
        </w:r>
      </w:hyperlink>
    </w:p>
    <w:p w14:paraId="2736FC01" w14:textId="238ECD52" w:rsidR="000B5EA9" w:rsidRPr="00615BA5" w:rsidRDefault="000B5EA9" w:rsidP="00C95BA9">
      <w:pPr>
        <w:spacing w:line="240" w:lineRule="auto"/>
      </w:pPr>
      <w:r w:rsidRPr="00615BA5">
        <w:t>We recommend checking room count and confirm</w:t>
      </w:r>
      <w:r w:rsidR="00602735">
        <w:t>ing</w:t>
      </w:r>
      <w:r w:rsidRPr="00615BA5">
        <w:t xml:space="preserve"> with local real estate practices whether room count includes bedrooms, living/dining/kitchen/family rooms.</w:t>
      </w:r>
      <w:r w:rsidR="00957396" w:rsidRPr="00615BA5">
        <w:t xml:space="preserve">  Some room</w:t>
      </w:r>
      <w:r w:rsidRPr="00615BA5">
        <w:t xml:space="preserve"> counts and living areas </w:t>
      </w:r>
      <w:r w:rsidR="00602735">
        <w:t>can be</w:t>
      </w:r>
      <w:r w:rsidR="00602735" w:rsidRPr="00615BA5">
        <w:t xml:space="preserve"> </w:t>
      </w:r>
      <w:r w:rsidRPr="00615BA5">
        <w:t xml:space="preserve">defined differently across </w:t>
      </w:r>
      <w:r w:rsidR="00602735">
        <w:t xml:space="preserve">different regions of </w:t>
      </w:r>
      <w:r w:rsidRPr="00615BA5">
        <w:t>Canada.</w:t>
      </w:r>
    </w:p>
    <w:p w14:paraId="3461A308" w14:textId="38677E5C" w:rsidR="00602735" w:rsidRDefault="000B5EA9" w:rsidP="00C95BA9">
      <w:pPr>
        <w:spacing w:line="240" w:lineRule="auto"/>
      </w:pPr>
      <w:r w:rsidRPr="00615BA5">
        <w:t xml:space="preserve">If a report includes a list of </w:t>
      </w:r>
      <w:r w:rsidR="00602735" w:rsidRPr="00615BA5">
        <w:t>tenants’</w:t>
      </w:r>
      <w:r w:rsidRPr="00615BA5">
        <w:t xml:space="preserve"> names, we recommend redacting names for confidentiality and PIPEDA reasons.</w:t>
      </w:r>
      <w:r w:rsidR="00870412" w:rsidRPr="00615BA5">
        <w:t xml:space="preserve">  </w:t>
      </w:r>
    </w:p>
    <w:p w14:paraId="58CC5F64" w14:textId="77777777" w:rsidR="00602735" w:rsidRDefault="00957396" w:rsidP="00C95BA9">
      <w:pPr>
        <w:spacing w:line="240" w:lineRule="auto"/>
      </w:pPr>
      <w:r w:rsidRPr="00615BA5">
        <w:t>If a</w:t>
      </w:r>
      <w:r w:rsidR="000B5EA9" w:rsidRPr="00615BA5">
        <w:t xml:space="preserve"> report includes photos of individuals</w:t>
      </w:r>
      <w:r w:rsidRPr="00615BA5">
        <w:t>, we r</w:t>
      </w:r>
      <w:r w:rsidR="000B5EA9" w:rsidRPr="00615BA5">
        <w:t xml:space="preserve">ecommend using photos without people </w:t>
      </w:r>
      <w:r w:rsidR="00602735">
        <w:t xml:space="preserve">in them </w:t>
      </w:r>
      <w:r w:rsidR="000B5EA9" w:rsidRPr="00615BA5">
        <w:t>or redacting photos for PIPEDA reasons if consent has not been obtained.</w:t>
      </w:r>
      <w:r w:rsidR="00870412" w:rsidRPr="00615BA5">
        <w:t xml:space="preserve"> </w:t>
      </w:r>
    </w:p>
    <w:p w14:paraId="036E69F7" w14:textId="33747784" w:rsidR="000B5EA9" w:rsidRPr="00615BA5" w:rsidRDefault="00870412" w:rsidP="00C95BA9">
      <w:pPr>
        <w:spacing w:line="240" w:lineRule="auto"/>
      </w:pPr>
      <w:r w:rsidRPr="00615BA5">
        <w:t>If your report includes MLS listing info, we recommend reviewing your agreement with the real estate board to ensure you have permission to reuse this information or that there is no breach of PIPEDA or other privacy legislation.</w:t>
      </w:r>
    </w:p>
    <w:p w14:paraId="3DE3D3AA" w14:textId="77777777" w:rsidR="000B5EA9" w:rsidRPr="00615BA5" w:rsidRDefault="000B5EA9" w:rsidP="00C95BA9">
      <w:pPr>
        <w:spacing w:line="240" w:lineRule="auto"/>
      </w:pPr>
      <w:r w:rsidRPr="00615BA5">
        <w:t>See “PIPEDA” Professional Excellence Bulletin:</w:t>
      </w:r>
    </w:p>
    <w:p w14:paraId="683BFDAB" w14:textId="77777777" w:rsidR="000B5EA9" w:rsidRPr="00615BA5" w:rsidRDefault="003E40F0" w:rsidP="00C95BA9">
      <w:pPr>
        <w:spacing w:line="240" w:lineRule="auto"/>
      </w:pPr>
      <w:hyperlink r:id="rId26" w:history="1">
        <w:r w:rsidR="000B5EA9" w:rsidRPr="00615BA5">
          <w:rPr>
            <w:rStyle w:val="Hyperlink"/>
          </w:rPr>
          <w:t>https://www.aicanada.ca/professional-liability/professional-excellence-bulletins/</w:t>
        </w:r>
      </w:hyperlink>
    </w:p>
    <w:p w14:paraId="135D3986" w14:textId="2FA105BF" w:rsidR="000B5EA9" w:rsidRPr="00615BA5" w:rsidRDefault="003A208B" w:rsidP="00C95BA9">
      <w:pPr>
        <w:spacing w:line="240" w:lineRule="auto"/>
      </w:pPr>
      <w:r>
        <w:t>In</w:t>
      </w:r>
      <w:r w:rsidR="00602735">
        <w:t xml:space="preserve"> s</w:t>
      </w:r>
      <w:r w:rsidR="00957396" w:rsidRPr="00615BA5">
        <w:t xml:space="preserve">ome reports </w:t>
      </w:r>
      <w:r w:rsidR="00602735">
        <w:t>it is</w:t>
      </w:r>
      <w:r w:rsidR="00957396" w:rsidRPr="00615BA5">
        <w:t xml:space="preserve"> </w:t>
      </w:r>
      <w:r w:rsidR="000B5EA9" w:rsidRPr="00615BA5">
        <w:t xml:space="preserve">unclear </w:t>
      </w:r>
      <w:r w:rsidR="00957396" w:rsidRPr="00615BA5">
        <w:t xml:space="preserve">which interest </w:t>
      </w:r>
      <w:r w:rsidR="00602735">
        <w:t xml:space="preserve">is being </w:t>
      </w:r>
      <w:r w:rsidR="00957396" w:rsidRPr="00615BA5">
        <w:t>appraised.  We r</w:t>
      </w:r>
      <w:r w:rsidR="000B5EA9" w:rsidRPr="00615BA5">
        <w:t xml:space="preserve">ecommend </w:t>
      </w:r>
      <w:r w:rsidR="00602735">
        <w:t xml:space="preserve">providing an explanation </w:t>
      </w:r>
      <w:r w:rsidR="000B5EA9" w:rsidRPr="00615BA5">
        <w:t xml:space="preserve">of fee </w:t>
      </w:r>
      <w:r w:rsidR="00957396" w:rsidRPr="00615BA5">
        <w:t xml:space="preserve">simple, leased fee or leasehold </w:t>
      </w:r>
      <w:r w:rsidR="00602735">
        <w:t xml:space="preserve">in the report </w:t>
      </w:r>
      <w:r w:rsidR="00957396" w:rsidRPr="00615BA5">
        <w:t xml:space="preserve">particularly when it is common for those interests </w:t>
      </w:r>
      <w:r w:rsidR="00602735">
        <w:t>to be</w:t>
      </w:r>
      <w:r w:rsidR="00957396" w:rsidRPr="00615BA5">
        <w:t xml:space="preserve"> tied to a certain property type (such as commercial, big box)</w:t>
      </w:r>
      <w:r w:rsidR="00602735">
        <w:t>.</w:t>
      </w:r>
    </w:p>
    <w:p w14:paraId="3A353691" w14:textId="4F6635C5" w:rsidR="003A208B" w:rsidRDefault="000B5EA9" w:rsidP="00C95BA9">
      <w:pPr>
        <w:spacing w:line="240" w:lineRule="auto"/>
      </w:pPr>
      <w:r w:rsidRPr="00615BA5">
        <w:t xml:space="preserve">See </w:t>
      </w:r>
      <w:r w:rsidR="00870412" w:rsidRPr="00615BA5">
        <w:t>UBC BUSI 330</w:t>
      </w:r>
      <w:r w:rsidR="003A208B">
        <w:t xml:space="preserve">: </w:t>
      </w:r>
      <w:r w:rsidR="003A208B" w:rsidRPr="006A3D41">
        <w:rPr>
          <w:u w:val="single"/>
        </w:rPr>
        <w:t>Foundations of Real Estate Appraisal</w:t>
      </w:r>
      <w:r w:rsidR="003A208B">
        <w:t xml:space="preserve">: </w:t>
      </w:r>
      <w:r w:rsidR="00870412" w:rsidRPr="00615BA5">
        <w:t>Lesson 6</w:t>
      </w:r>
    </w:p>
    <w:p w14:paraId="7A7480E6" w14:textId="1F29A80D" w:rsidR="000B5EA9" w:rsidRPr="00615BA5" w:rsidRDefault="003A208B" w:rsidP="00C95BA9">
      <w:pPr>
        <w:spacing w:line="240" w:lineRule="auto"/>
      </w:pPr>
      <w:r>
        <w:t>See UBC</w:t>
      </w:r>
      <w:r w:rsidR="00870412" w:rsidRPr="00615BA5">
        <w:t xml:space="preserve"> </w:t>
      </w:r>
      <w:r w:rsidR="000B5EA9" w:rsidRPr="00615BA5">
        <w:t>CPD 109</w:t>
      </w:r>
      <w:r>
        <w:t>: Lease Analysis</w:t>
      </w:r>
      <w:r w:rsidR="000B5EA9" w:rsidRPr="00615BA5">
        <w:t xml:space="preserve"> </w:t>
      </w:r>
    </w:p>
    <w:p w14:paraId="6281F2BC" w14:textId="77777777" w:rsidR="000B5EA9" w:rsidRPr="00615BA5" w:rsidRDefault="003E40F0" w:rsidP="00C95BA9">
      <w:pPr>
        <w:spacing w:line="240" w:lineRule="auto"/>
      </w:pPr>
      <w:hyperlink r:id="rId27" w:history="1">
        <w:r w:rsidR="000B5EA9" w:rsidRPr="00615BA5">
          <w:rPr>
            <w:rStyle w:val="Hyperlink"/>
          </w:rPr>
          <w:t>http://www.sauder.ubc.ca/Programs/Real_Estate_Division/Credit_Programs_and_Professional_Development_Courses/Professional_Development_Courses</w:t>
        </w:r>
      </w:hyperlink>
    </w:p>
    <w:p w14:paraId="2E4A07D1" w14:textId="77777777" w:rsidR="000B5EA9" w:rsidRPr="00615BA5" w:rsidRDefault="003E40F0" w:rsidP="00C95BA9">
      <w:pPr>
        <w:spacing w:line="240" w:lineRule="auto"/>
      </w:pPr>
      <w:hyperlink r:id="rId28" w:history="1">
        <w:r w:rsidR="000B5EA9" w:rsidRPr="00615BA5">
          <w:rPr>
            <w:rStyle w:val="Hyperlink"/>
          </w:rPr>
          <w:t>https://professional.sauder.ubc.ca/re_creditprogram/course_resources/courses/content/352/331_chapter06.pdf</w:t>
        </w:r>
      </w:hyperlink>
    </w:p>
    <w:p w14:paraId="3C33A4CE" w14:textId="77777777" w:rsidR="00957396" w:rsidRPr="00615BA5" w:rsidRDefault="00957396" w:rsidP="00C95BA9">
      <w:pPr>
        <w:pStyle w:val="Heading1"/>
        <w:spacing w:line="240" w:lineRule="auto"/>
      </w:pPr>
      <w:bookmarkStart w:id="9" w:name="_Toc536628932"/>
      <w:r w:rsidRPr="00615BA5">
        <w:t>6.2.9. Assumptions and Limiting Conditions</w:t>
      </w:r>
      <w:bookmarkEnd w:id="9"/>
    </w:p>
    <w:p w14:paraId="2446445C" w14:textId="1C20BA44" w:rsidR="00957396" w:rsidRPr="00615BA5" w:rsidRDefault="00957396" w:rsidP="00C95BA9">
      <w:pPr>
        <w:spacing w:line="240" w:lineRule="auto"/>
        <w:rPr>
          <w:sz w:val="23"/>
          <w:szCs w:val="23"/>
          <w:lang w:val="en-CA"/>
        </w:rPr>
      </w:pPr>
      <w:r w:rsidRPr="006A3D41">
        <w:rPr>
          <w:b/>
        </w:rPr>
        <w:t>6.2.9:</w:t>
      </w:r>
      <w:r w:rsidR="008324AD" w:rsidRPr="006A3D41">
        <w:rPr>
          <w:b/>
        </w:rPr>
        <w:t xml:space="preserve"> In a report, a Member must</w:t>
      </w:r>
      <w:r w:rsidRPr="006A3D41">
        <w:rPr>
          <w:b/>
        </w:rPr>
        <w:t xml:space="preserve"> identify all assumptions and limiting conditions (including extraordinary assumptions and extraordinary limiting conditions);</w:t>
      </w:r>
      <w:r w:rsidRPr="00615BA5">
        <w:t xml:space="preserve"> </w:t>
      </w:r>
    </w:p>
    <w:p w14:paraId="36B948E0" w14:textId="75EFEB3D" w:rsidR="00957396" w:rsidRPr="00615BA5" w:rsidRDefault="006D2C0B" w:rsidP="00C95BA9">
      <w:pPr>
        <w:spacing w:line="240" w:lineRule="auto"/>
      </w:pPr>
      <w:r>
        <w:t>L</w:t>
      </w:r>
      <w:r w:rsidR="00957396" w:rsidRPr="00615BA5">
        <w:t xml:space="preserve">iability </w:t>
      </w:r>
      <w:r>
        <w:t xml:space="preserve">is limited </w:t>
      </w:r>
      <w:r w:rsidR="00957396" w:rsidRPr="00615BA5">
        <w:t xml:space="preserve">when </w:t>
      </w:r>
      <w:r>
        <w:t>a</w:t>
      </w:r>
      <w:r w:rsidRPr="00615BA5">
        <w:t xml:space="preserve"> </w:t>
      </w:r>
      <w:r w:rsidR="00957396" w:rsidRPr="00615BA5">
        <w:t xml:space="preserve">report includes the </w:t>
      </w:r>
      <w:r w:rsidR="00957396" w:rsidRPr="006A3D41">
        <w:rPr>
          <w:u w:val="single"/>
        </w:rPr>
        <w:t>mandatory</w:t>
      </w:r>
      <w:r w:rsidR="00957396" w:rsidRPr="00615BA5">
        <w:t xml:space="preserve"> assumptions and limiting conditions found on AIC templates:</w:t>
      </w:r>
    </w:p>
    <w:p w14:paraId="7D2D8FD7" w14:textId="77777777" w:rsidR="00957396" w:rsidRPr="00615BA5" w:rsidRDefault="003E40F0" w:rsidP="00C95BA9">
      <w:pPr>
        <w:spacing w:line="240" w:lineRule="auto"/>
      </w:pPr>
      <w:hyperlink r:id="rId29" w:history="1">
        <w:r w:rsidR="00957396" w:rsidRPr="00615BA5">
          <w:rPr>
            <w:rStyle w:val="Hyperlink"/>
          </w:rPr>
          <w:t>https://www.aicanada.ca/forms-templates/</w:t>
        </w:r>
      </w:hyperlink>
    </w:p>
    <w:p w14:paraId="3DCE230D" w14:textId="08839B21" w:rsidR="00A83A7A" w:rsidRDefault="00A83A7A" w:rsidP="00C95BA9">
      <w:pPr>
        <w:spacing w:line="240" w:lineRule="auto"/>
      </w:pPr>
      <w:r>
        <w:t xml:space="preserve">When </w:t>
      </w:r>
      <w:r w:rsidRPr="00A83A7A">
        <w:t xml:space="preserve">using AMC forms or other forms, </w:t>
      </w:r>
      <w:r>
        <w:t xml:space="preserve">ensure they are approved AIC forms and </w:t>
      </w:r>
      <w:r w:rsidRPr="00A83A7A">
        <w:t>amend to conform to CUSPA</w:t>
      </w:r>
      <w:r>
        <w:t>P.</w:t>
      </w:r>
    </w:p>
    <w:p w14:paraId="6E33D8E3" w14:textId="4984C228" w:rsidR="003A208B" w:rsidRDefault="00957396" w:rsidP="00C95BA9">
      <w:pPr>
        <w:spacing w:line="240" w:lineRule="auto"/>
      </w:pPr>
      <w:r w:rsidRPr="00615BA5">
        <w:t xml:space="preserve">Some reports include extraordinary items but it is unclear </w:t>
      </w:r>
      <w:r w:rsidR="00210723">
        <w:t xml:space="preserve">whether these items are in fact “extraordinary” </w:t>
      </w:r>
      <w:r w:rsidRPr="00615BA5">
        <w:t xml:space="preserve">as they appear to be ordinary for the assignment.  </w:t>
      </w:r>
    </w:p>
    <w:p w14:paraId="0BF15177" w14:textId="48772949" w:rsidR="003A208B" w:rsidRPr="00615BA5" w:rsidRDefault="007333C1" w:rsidP="00C95BA9">
      <w:pPr>
        <w:spacing w:line="240" w:lineRule="auto"/>
      </w:pPr>
      <w:r w:rsidRPr="00615BA5">
        <w:t xml:space="preserve">When using </w:t>
      </w:r>
      <w:r w:rsidR="00210723">
        <w:t xml:space="preserve">assumptions, limiting conditions, extraordinary assumptions, </w:t>
      </w:r>
      <w:r w:rsidRPr="00615BA5">
        <w:t xml:space="preserve"> or </w:t>
      </w:r>
      <w:r w:rsidR="00210723">
        <w:t>extraordinary limiting conditions</w:t>
      </w:r>
      <w:r w:rsidRPr="00615BA5">
        <w:t>, it is beneficial to explain what each term used means in plain language</w:t>
      </w:r>
      <w:r w:rsidR="00210723">
        <w:t xml:space="preserve"> in the report</w:t>
      </w:r>
      <w:r w:rsidRPr="00615BA5">
        <w:t xml:space="preserve"> so that the client, reader or decision-maker can understand.   </w:t>
      </w:r>
    </w:p>
    <w:p w14:paraId="3901DA6C" w14:textId="4E57455A" w:rsidR="00957396" w:rsidRPr="00615BA5" w:rsidRDefault="003A208B" w:rsidP="00C95BA9">
      <w:pPr>
        <w:spacing w:line="240" w:lineRule="auto"/>
      </w:pPr>
      <w:r w:rsidRPr="00615BA5">
        <w:t>See</w:t>
      </w:r>
      <w:r>
        <w:t>:</w:t>
      </w:r>
      <w:r w:rsidRPr="00615BA5">
        <w:t xml:space="preserve"> </w:t>
      </w:r>
      <w:r>
        <w:t>CUSPAP 2018 Practice Note</w:t>
      </w:r>
      <w:r w:rsidRPr="00615BA5">
        <w:t xml:space="preserve"> </w:t>
      </w:r>
      <w:r>
        <w:t>18.24-25 (</w:t>
      </w:r>
      <w:r w:rsidRPr="00615BA5">
        <w:t>differences between assumptions</w:t>
      </w:r>
      <w:r>
        <w:t xml:space="preserve"> and </w:t>
      </w:r>
      <w:r w:rsidRPr="00615BA5">
        <w:t xml:space="preserve">conditions and </w:t>
      </w:r>
      <w:r>
        <w:t xml:space="preserve">between </w:t>
      </w:r>
      <w:r w:rsidRPr="00615BA5">
        <w:t xml:space="preserve">ordinary </w:t>
      </w:r>
      <w:r>
        <w:t>and</w:t>
      </w:r>
      <w:r w:rsidRPr="00615BA5">
        <w:t xml:space="preserve"> extraordinary</w:t>
      </w:r>
      <w:r>
        <w:t>)</w:t>
      </w:r>
    </w:p>
    <w:p w14:paraId="17252DE4" w14:textId="77777777" w:rsidR="00957396" w:rsidRPr="00615BA5" w:rsidRDefault="00957396" w:rsidP="00C95BA9">
      <w:pPr>
        <w:pStyle w:val="Heading1"/>
        <w:spacing w:line="240" w:lineRule="auto"/>
      </w:pPr>
      <w:bookmarkStart w:id="10" w:name="_Toc536628933"/>
      <w:r w:rsidRPr="00615BA5">
        <w:t>6.2.10. Hypothetical Conditions</w:t>
      </w:r>
      <w:bookmarkEnd w:id="10"/>
    </w:p>
    <w:p w14:paraId="085E3057" w14:textId="6FF9B4D1" w:rsidR="00957396" w:rsidRPr="00615BA5" w:rsidRDefault="00957396" w:rsidP="00C95BA9">
      <w:pPr>
        <w:spacing w:line="240" w:lineRule="auto"/>
      </w:pPr>
      <w:r w:rsidRPr="006A3D41">
        <w:rPr>
          <w:b/>
        </w:rPr>
        <w:t>6.2.10:</w:t>
      </w:r>
      <w:r w:rsidR="008324AD" w:rsidRPr="006A3D41">
        <w:rPr>
          <w:b/>
        </w:rPr>
        <w:t xml:space="preserve"> In a report, a Member must</w:t>
      </w:r>
      <w:r w:rsidRPr="006A3D41">
        <w:rPr>
          <w:b/>
        </w:rPr>
        <w:t xml:space="preserve"> </w:t>
      </w:r>
      <w:r w:rsidR="00E1223F" w:rsidRPr="006A3D41">
        <w:rPr>
          <w:b/>
        </w:rPr>
        <w:t>identify any hypothetical conditions;</w:t>
      </w:r>
      <w:r w:rsidR="00E1223F" w:rsidRPr="00615BA5">
        <w:t xml:space="preserve"> </w:t>
      </w:r>
    </w:p>
    <w:p w14:paraId="2071290A" w14:textId="77777777" w:rsidR="00957396" w:rsidRPr="00615BA5" w:rsidRDefault="00E1223F" w:rsidP="00C95BA9">
      <w:pPr>
        <w:spacing w:line="240" w:lineRule="auto"/>
      </w:pPr>
      <w:r w:rsidRPr="00615BA5">
        <w:t xml:space="preserve">A report that includes </w:t>
      </w:r>
      <w:r w:rsidR="00957396" w:rsidRPr="00615BA5">
        <w:t>a Hypothetical Condition also requires an Extraordinary Assumption under 7.11.4.</w:t>
      </w:r>
    </w:p>
    <w:p w14:paraId="30401749" w14:textId="599AA5CB" w:rsidR="00957396" w:rsidRPr="00615BA5" w:rsidRDefault="00957396" w:rsidP="00C95BA9">
      <w:pPr>
        <w:spacing w:line="240" w:lineRule="auto"/>
      </w:pPr>
      <w:r w:rsidRPr="00615BA5">
        <w:t>See “As If Complete Appraisals” Professional Excellence Bulletin</w:t>
      </w:r>
      <w:r w:rsidR="006D2C0B">
        <w:t>:</w:t>
      </w:r>
    </w:p>
    <w:p w14:paraId="25CA1D45" w14:textId="77777777" w:rsidR="00957396" w:rsidRPr="00615BA5" w:rsidRDefault="003E40F0" w:rsidP="00C95BA9">
      <w:pPr>
        <w:spacing w:line="240" w:lineRule="auto"/>
        <w:rPr>
          <w:rStyle w:val="Hyperlink"/>
        </w:rPr>
      </w:pPr>
      <w:hyperlink r:id="rId30" w:history="1">
        <w:r w:rsidR="00957396" w:rsidRPr="00615BA5">
          <w:rPr>
            <w:rStyle w:val="Hyperlink"/>
          </w:rPr>
          <w:t>https://www.aicanada.ca/professional-liability/professional-excellence-bulletins/</w:t>
        </w:r>
      </w:hyperlink>
    </w:p>
    <w:p w14:paraId="55D19A0F" w14:textId="77777777" w:rsidR="00957396" w:rsidRPr="00615BA5" w:rsidRDefault="00957396" w:rsidP="00C95BA9">
      <w:pPr>
        <w:spacing w:line="240" w:lineRule="auto"/>
      </w:pPr>
      <w:r w:rsidRPr="00615BA5">
        <w:t xml:space="preserve">It is not recommended to use a hypothetical, assumption or limiting condition for a mathematical </w:t>
      </w:r>
      <w:r w:rsidR="00E1223F" w:rsidRPr="00615BA5">
        <w:t>“</w:t>
      </w:r>
      <w:r w:rsidRPr="00615BA5">
        <w:t>as is</w:t>
      </w:r>
      <w:r w:rsidR="00E1223F" w:rsidRPr="00615BA5">
        <w:t>”</w:t>
      </w:r>
      <w:r w:rsidRPr="00615BA5">
        <w:t xml:space="preserve"> value as it is not an accepted valuation method.</w:t>
      </w:r>
    </w:p>
    <w:p w14:paraId="050C7FF7" w14:textId="3DA17A02" w:rsidR="003A208B" w:rsidRDefault="00F63CFB" w:rsidP="00C95BA9">
      <w:pPr>
        <w:spacing w:line="240" w:lineRule="auto"/>
      </w:pPr>
      <w:r>
        <w:t xml:space="preserve">A common error: </w:t>
      </w:r>
      <w:r w:rsidR="00957396" w:rsidRPr="00615BA5">
        <w:t>The Hypothetical Con</w:t>
      </w:r>
      <w:r w:rsidR="00E1223F" w:rsidRPr="00615BA5">
        <w:t xml:space="preserve">dition section </w:t>
      </w:r>
      <w:r>
        <w:t>is</w:t>
      </w:r>
      <w:r w:rsidR="00E1223F" w:rsidRPr="00615BA5">
        <w:t xml:space="preserve"> filled out</w:t>
      </w:r>
      <w:r>
        <w:t xml:space="preserve"> in a report</w:t>
      </w:r>
      <w:r w:rsidR="002574A5" w:rsidRPr="00615BA5">
        <w:t>, however i</w:t>
      </w:r>
      <w:r w:rsidR="00957396" w:rsidRPr="00615BA5">
        <w:t>t is unclear what hypothetical condition actually exists for the property (</w:t>
      </w:r>
      <w:r w:rsidRPr="00615BA5">
        <w:t>i.e.</w:t>
      </w:r>
      <w:r w:rsidR="00957396" w:rsidRPr="00615BA5">
        <w:t>:</w:t>
      </w:r>
      <w:r w:rsidR="00E1223F" w:rsidRPr="00615BA5">
        <w:t xml:space="preserve"> </w:t>
      </w:r>
      <w:r>
        <w:t xml:space="preserve">the property </w:t>
      </w:r>
      <w:r w:rsidR="00E1223F" w:rsidRPr="00615BA5">
        <w:t>is not contaminated</w:t>
      </w:r>
      <w:r w:rsidR="00957396" w:rsidRPr="00615BA5">
        <w:t xml:space="preserve">, </w:t>
      </w:r>
      <w:r w:rsidR="00E1223F" w:rsidRPr="00615BA5">
        <w:t>construction is complete?</w:t>
      </w:r>
      <w:r w:rsidR="00957396" w:rsidRPr="00615BA5">
        <w:t xml:space="preserve">)  </w:t>
      </w:r>
    </w:p>
    <w:p w14:paraId="76D264C8" w14:textId="48FFC08A" w:rsidR="00A83A7A" w:rsidRDefault="00A83A7A" w:rsidP="00C95BA9">
      <w:pPr>
        <w:spacing w:line="240" w:lineRule="auto"/>
      </w:pPr>
      <w:r>
        <w:t xml:space="preserve">For appraisals that are completed prior to construction, such as from blueprints or appraising a home under construction, you must ensure this is clear and you want to protect yourself with appropriate assumptions and limiting conditions.  </w:t>
      </w:r>
    </w:p>
    <w:p w14:paraId="3BE2ED6C" w14:textId="1B8831BB" w:rsidR="00A83A7A" w:rsidRDefault="00A83A7A" w:rsidP="00C95BA9">
      <w:pPr>
        <w:spacing w:line="240" w:lineRule="auto"/>
      </w:pPr>
      <w:r>
        <w:t>Remember that every hypothetical requires an extraordinary assumption.  See CUSPAP 7.11.4</w:t>
      </w:r>
    </w:p>
    <w:p w14:paraId="651021EA" w14:textId="51DF3066" w:rsidR="00957396" w:rsidRPr="00615BA5" w:rsidRDefault="00957396" w:rsidP="00C95BA9">
      <w:pPr>
        <w:spacing w:line="240" w:lineRule="auto"/>
      </w:pPr>
      <w:r w:rsidRPr="00615BA5">
        <w:t>See</w:t>
      </w:r>
      <w:r w:rsidR="003A208B">
        <w:t>:</w:t>
      </w:r>
      <w:r w:rsidRPr="00615BA5">
        <w:t xml:space="preserve"> </w:t>
      </w:r>
      <w:r w:rsidR="00F63CFB">
        <w:t>Practice Note</w:t>
      </w:r>
      <w:r w:rsidR="00F63CFB" w:rsidRPr="00615BA5">
        <w:t xml:space="preserve"> </w:t>
      </w:r>
      <w:r w:rsidRPr="00615BA5">
        <w:t>Box 18.25.3.</w:t>
      </w:r>
    </w:p>
    <w:p w14:paraId="7D09F6F4" w14:textId="77777777" w:rsidR="00E1223F" w:rsidRPr="00615BA5" w:rsidRDefault="00E1223F" w:rsidP="00C95BA9">
      <w:pPr>
        <w:pStyle w:val="Heading1"/>
        <w:spacing w:line="240" w:lineRule="auto"/>
      </w:pPr>
      <w:bookmarkStart w:id="11" w:name="_Toc536628934"/>
      <w:r w:rsidRPr="00615BA5">
        <w:lastRenderedPageBreak/>
        <w:t>6.2.11. Land Use</w:t>
      </w:r>
      <w:bookmarkEnd w:id="11"/>
    </w:p>
    <w:p w14:paraId="0253E149" w14:textId="7A50AB51" w:rsidR="00E1223F" w:rsidRPr="00615BA5" w:rsidRDefault="00E1223F" w:rsidP="00C95BA9">
      <w:pPr>
        <w:spacing w:line="240" w:lineRule="auto"/>
        <w:rPr>
          <w:lang w:val="en-CA"/>
        </w:rPr>
      </w:pPr>
      <w:r w:rsidRPr="006A3D41">
        <w:rPr>
          <w:b/>
        </w:rPr>
        <w:t xml:space="preserve">6.2.11: </w:t>
      </w:r>
      <w:r w:rsidR="008324AD" w:rsidRPr="006A3D41">
        <w:rPr>
          <w:b/>
        </w:rPr>
        <w:t>In a report, a Member must</w:t>
      </w:r>
      <w:r w:rsidRPr="006A3D41">
        <w:rPr>
          <w:b/>
        </w:rPr>
        <w:t xml:space="preserve"> </w:t>
      </w:r>
      <w:r w:rsidRPr="006A3D41">
        <w:rPr>
          <w:b/>
          <w:lang w:val="en-CA"/>
        </w:rPr>
        <w:t>identify and analyze land use controls;</w:t>
      </w:r>
      <w:r w:rsidRPr="00615BA5">
        <w:rPr>
          <w:lang w:val="en-CA"/>
        </w:rPr>
        <w:t xml:space="preserve"> </w:t>
      </w:r>
    </w:p>
    <w:p w14:paraId="66F65DB2" w14:textId="5B10CC08" w:rsidR="00E1223F" w:rsidRDefault="00FA207B" w:rsidP="00C95BA9">
      <w:pPr>
        <w:spacing w:line="240" w:lineRule="auto"/>
      </w:pPr>
      <w:r>
        <w:t>Peer Reviewers have noted that s</w:t>
      </w:r>
      <w:r w:rsidR="00E1223F" w:rsidRPr="00615BA5">
        <w:t>ome reports state only R-1 or Residential.</w:t>
      </w:r>
      <w:r>
        <w:t xml:space="preserve"> </w:t>
      </w:r>
      <w:r w:rsidR="00E1223F" w:rsidRPr="00615BA5">
        <w:t xml:space="preserve"> It recommend to include the full designation and some</w:t>
      </w:r>
      <w:r w:rsidRPr="00FA207B">
        <w:t xml:space="preserve"> </w:t>
      </w:r>
      <w:r w:rsidRPr="00615BA5">
        <w:t>uses</w:t>
      </w:r>
      <w:r w:rsidR="00E1223F" w:rsidRPr="00615BA5">
        <w:t xml:space="preserve"> permitted </w:t>
      </w:r>
      <w:r>
        <w:t>under the zoning</w:t>
      </w:r>
      <w:r w:rsidR="00E1223F" w:rsidRPr="00615BA5">
        <w:t>, especially the subject use, and include a Zoning Map which is typically available online from the municipality.</w:t>
      </w:r>
    </w:p>
    <w:p w14:paraId="2E6516CF" w14:textId="42386873" w:rsidR="006A5E23" w:rsidRPr="00615BA5" w:rsidRDefault="006A5E23" w:rsidP="00C95BA9">
      <w:pPr>
        <w:spacing w:line="240" w:lineRule="auto"/>
      </w:pPr>
      <w:r>
        <w:t xml:space="preserve">Remember, if the report simply states “residential”, a reader will not understand the complete picture how you determined the conformity of existing use and HBU without reading your </w:t>
      </w:r>
      <w:proofErr w:type="spellStart"/>
      <w:r>
        <w:t>workfile</w:t>
      </w:r>
      <w:proofErr w:type="spellEnd"/>
      <w:r>
        <w:t>.</w:t>
      </w:r>
    </w:p>
    <w:p w14:paraId="14756E01" w14:textId="1F28A0F3" w:rsidR="00E1223F" w:rsidRPr="00615BA5" w:rsidRDefault="00FA207B" w:rsidP="00C95BA9">
      <w:pPr>
        <w:spacing w:line="240" w:lineRule="auto"/>
      </w:pPr>
      <w:r>
        <w:t>T</w:t>
      </w:r>
      <w:r w:rsidR="00866A74" w:rsidRPr="00615BA5">
        <w:t>he AIC forms</w:t>
      </w:r>
      <w:r w:rsidR="00E1223F" w:rsidRPr="00615BA5">
        <w:t xml:space="preserve"> </w:t>
      </w:r>
      <w:r w:rsidR="00866A74" w:rsidRPr="00615BA5">
        <w:t>have</w:t>
      </w:r>
      <w:r w:rsidR="00E1223F" w:rsidRPr="00615BA5">
        <w:t xml:space="preserve"> </w:t>
      </w:r>
      <w:r>
        <w:t xml:space="preserve">a </w:t>
      </w:r>
      <w:r w:rsidR="00E1223F" w:rsidRPr="00615BA5">
        <w:t xml:space="preserve">field for appraisers to include Other Land Use Controls, </w:t>
      </w:r>
      <w:r w:rsidR="00866A74" w:rsidRPr="00615BA5">
        <w:t>not</w:t>
      </w:r>
      <w:r w:rsidR="00E1223F" w:rsidRPr="00615BA5">
        <w:t xml:space="preserve"> </w:t>
      </w:r>
      <w:r w:rsidR="00866A74" w:rsidRPr="00615BA5">
        <w:t>just</w:t>
      </w:r>
      <w:r w:rsidR="00E1223F" w:rsidRPr="00615BA5">
        <w:t xml:space="preserve"> </w:t>
      </w:r>
      <w:proofErr w:type="gramStart"/>
      <w:r w:rsidR="00E1223F" w:rsidRPr="00615BA5">
        <w:t>Zoning</w:t>
      </w:r>
      <w:proofErr w:type="gramEnd"/>
      <w:r w:rsidR="00E1223F" w:rsidRPr="00615BA5">
        <w:t>.  These could include other government controls such as</w:t>
      </w:r>
      <w:r>
        <w:t>:</w:t>
      </w:r>
      <w:r w:rsidR="00E1223F" w:rsidRPr="00615BA5">
        <w:t xml:space="preserve"> official community plans, environmental overlays, flood protection, parking, road access restrictions, regional or provincial regulations and potential changes.</w:t>
      </w:r>
    </w:p>
    <w:p w14:paraId="7809DBE6" w14:textId="77777777" w:rsidR="00E1223F" w:rsidRPr="00615BA5" w:rsidRDefault="00E1223F" w:rsidP="00C95BA9">
      <w:pPr>
        <w:spacing w:line="240" w:lineRule="auto"/>
      </w:pPr>
      <w:r w:rsidRPr="00615BA5">
        <w:t>See the “Zoning” Professional Excellence Bulletin:</w:t>
      </w:r>
    </w:p>
    <w:p w14:paraId="2D4607F5" w14:textId="77777777" w:rsidR="00E1223F" w:rsidRPr="00615BA5" w:rsidRDefault="003E40F0" w:rsidP="00C95BA9">
      <w:pPr>
        <w:spacing w:line="240" w:lineRule="auto"/>
        <w:rPr>
          <w:rStyle w:val="Hyperlink"/>
        </w:rPr>
      </w:pPr>
      <w:hyperlink r:id="rId31" w:history="1">
        <w:r w:rsidR="00E1223F" w:rsidRPr="00615BA5">
          <w:rPr>
            <w:rStyle w:val="Hyperlink"/>
          </w:rPr>
          <w:t>https://www.aicanada.ca/professional-liability/professional-excellence-bulletins/</w:t>
        </w:r>
      </w:hyperlink>
    </w:p>
    <w:p w14:paraId="72AC1027" w14:textId="1E7122F7" w:rsidR="00866A74" w:rsidRPr="00615BA5" w:rsidRDefault="00866A74" w:rsidP="00C95BA9">
      <w:pPr>
        <w:spacing w:line="240" w:lineRule="auto"/>
      </w:pPr>
      <w:r w:rsidRPr="00615BA5">
        <w:t>See recent court case:</w:t>
      </w:r>
    </w:p>
    <w:p w14:paraId="4DF49351" w14:textId="77777777" w:rsidR="00E1223F" w:rsidRDefault="003E40F0" w:rsidP="00C95BA9">
      <w:pPr>
        <w:spacing w:line="240" w:lineRule="auto"/>
        <w:rPr>
          <w:rStyle w:val="Hyperlink"/>
        </w:rPr>
      </w:pPr>
      <w:hyperlink r:id="rId32" w:history="1">
        <w:r w:rsidR="00866A74" w:rsidRPr="00615BA5">
          <w:rPr>
            <w:rStyle w:val="Hyperlink"/>
          </w:rPr>
          <w:t>https://www.canlii.org/en/bc/bcsc/doc/2016/2016bcsc1582/2016bcsc1582.html</w:t>
        </w:r>
      </w:hyperlink>
    </w:p>
    <w:p w14:paraId="6A660A04" w14:textId="213644DA" w:rsidR="00FA207B" w:rsidRPr="00615BA5" w:rsidRDefault="00FA207B" w:rsidP="00C95BA9">
      <w:pPr>
        <w:spacing w:line="240" w:lineRule="auto"/>
      </w:pPr>
      <w:r>
        <w:rPr>
          <w:rStyle w:val="Hyperlink"/>
        </w:rPr>
        <w:t>(Floodplain not reported)</w:t>
      </w:r>
    </w:p>
    <w:p w14:paraId="19D766EE" w14:textId="77777777" w:rsidR="00866A74" w:rsidRPr="00615BA5" w:rsidRDefault="00866A74" w:rsidP="00C95BA9">
      <w:pPr>
        <w:pStyle w:val="Heading1"/>
        <w:spacing w:line="240" w:lineRule="auto"/>
      </w:pPr>
      <w:bookmarkStart w:id="12" w:name="_Toc536628935"/>
      <w:r w:rsidRPr="00615BA5">
        <w:t>6.2.12. Existing Use</w:t>
      </w:r>
      <w:bookmarkEnd w:id="12"/>
    </w:p>
    <w:p w14:paraId="77948842" w14:textId="75571A32" w:rsidR="00866A74" w:rsidRPr="00615BA5" w:rsidRDefault="00866A74" w:rsidP="00C95BA9">
      <w:pPr>
        <w:spacing w:line="240" w:lineRule="auto"/>
      </w:pPr>
      <w:r w:rsidRPr="006A3D41">
        <w:rPr>
          <w:b/>
        </w:rPr>
        <w:t xml:space="preserve">6.2.12: </w:t>
      </w:r>
      <w:r w:rsidR="008324AD" w:rsidRPr="006A3D41">
        <w:rPr>
          <w:b/>
        </w:rPr>
        <w:t>In a report, a Member must</w:t>
      </w:r>
      <w:r w:rsidRPr="006A3D41">
        <w:rPr>
          <w:b/>
        </w:rPr>
        <w:t xml:space="preserve"> state the existing use and the use reflected in the appraisal;</w:t>
      </w:r>
      <w:r w:rsidRPr="00615BA5">
        <w:t xml:space="preserve"> </w:t>
      </w:r>
    </w:p>
    <w:p w14:paraId="18457EE4" w14:textId="77777777" w:rsidR="00A83A7A" w:rsidRDefault="00866A74" w:rsidP="00C95BA9">
      <w:pPr>
        <w:spacing w:line="240" w:lineRule="auto"/>
      </w:pPr>
      <w:r w:rsidRPr="00615BA5">
        <w:t>The report must clearly state the existing use</w:t>
      </w:r>
      <w:r w:rsidR="00C87575">
        <w:t xml:space="preserve"> of the subject property</w:t>
      </w:r>
      <w:r w:rsidRPr="00615BA5">
        <w:t xml:space="preserve">. </w:t>
      </w:r>
      <w:r w:rsidR="00C87575">
        <w:t xml:space="preserve"> </w:t>
      </w:r>
      <w:r w:rsidRPr="00615BA5">
        <w:t xml:space="preserve">If the property has a non-conforming use or if there are different uses, it must be discussed and </w:t>
      </w:r>
      <w:r w:rsidR="00C92C65" w:rsidRPr="00615BA5">
        <w:t xml:space="preserve">the implications </w:t>
      </w:r>
      <w:r w:rsidR="00C92C65">
        <w:t>must be analyzed in the report</w:t>
      </w:r>
      <w:r w:rsidRPr="00615BA5">
        <w:t>.</w:t>
      </w:r>
      <w:r w:rsidR="00A83A7A" w:rsidRPr="00A83A7A">
        <w:t xml:space="preserve"> </w:t>
      </w:r>
    </w:p>
    <w:p w14:paraId="183C36FA" w14:textId="7B16F389" w:rsidR="00866A74" w:rsidRDefault="00A83A7A" w:rsidP="00C95BA9">
      <w:pPr>
        <w:spacing w:line="240" w:lineRule="auto"/>
      </w:pPr>
      <w:r>
        <w:t>Remember to ensure you are clear and consistent with the existing use on page 1 and 3 of the residential form</w:t>
      </w:r>
      <w:r w:rsidR="005A19AD">
        <w:t xml:space="preserve"> and if it differs from the appraised use.   When you are at the property, note the use and compare this to the use when</w:t>
      </w:r>
      <w:r>
        <w:t xml:space="preserve"> you research the zoning, permitted uses an</w:t>
      </w:r>
      <w:r w:rsidR="005A19AD">
        <w:t xml:space="preserve">d </w:t>
      </w:r>
      <w:r>
        <w:t xml:space="preserve">contact the local zoning / building </w:t>
      </w:r>
      <w:r w:rsidR="005A19AD">
        <w:t xml:space="preserve">/municipal </w:t>
      </w:r>
      <w:r>
        <w:t xml:space="preserve">office as to its legal permitted use. </w:t>
      </w:r>
      <w:r w:rsidR="005A19AD">
        <w:t xml:space="preserve"> If the existing use</w:t>
      </w:r>
      <w:r>
        <w:t xml:space="preserve"> on page 1 </w:t>
      </w:r>
      <w:r w:rsidR="005A19AD">
        <w:t>and</w:t>
      </w:r>
      <w:r>
        <w:t xml:space="preserve"> 3 </w:t>
      </w:r>
      <w:r w:rsidR="005A19AD">
        <w:t>are</w:t>
      </w:r>
      <w:r>
        <w:t xml:space="preserve"> </w:t>
      </w:r>
      <w:r w:rsidR="005A19AD">
        <w:t>not the same, this must be discuss.  For example: If t</w:t>
      </w:r>
      <w:r>
        <w:t>he property is being used as an illegal</w:t>
      </w:r>
      <w:r w:rsidR="005A19AD">
        <w:t xml:space="preserve">/non-comforting triplex, this should be stated.   </w:t>
      </w:r>
      <w:r>
        <w:t>The scope</w:t>
      </w:r>
      <w:r w:rsidR="005A19AD">
        <w:t>, zoning, H&amp;BU</w:t>
      </w:r>
      <w:r>
        <w:t xml:space="preserve"> </w:t>
      </w:r>
      <w:r w:rsidR="005A19AD">
        <w:t>or</w:t>
      </w:r>
      <w:r>
        <w:t xml:space="preserve"> </w:t>
      </w:r>
      <w:r w:rsidR="005A19AD">
        <w:t>addenda</w:t>
      </w:r>
      <w:r>
        <w:t xml:space="preserve"> should </w:t>
      </w:r>
      <w:r w:rsidR="005A19AD">
        <w:t>clearly explain</w:t>
      </w:r>
      <w:r>
        <w:t xml:space="preserve"> how this was confirmed and how </w:t>
      </w:r>
      <w:r w:rsidR="005A19AD">
        <w:t>it</w:t>
      </w:r>
      <w:r>
        <w:t xml:space="preserve"> will be treated in the appraisal.</w:t>
      </w:r>
    </w:p>
    <w:p w14:paraId="168A51A4" w14:textId="77777777" w:rsidR="00A83A7A" w:rsidRPr="00615BA5" w:rsidRDefault="00A83A7A" w:rsidP="00C95BA9">
      <w:pPr>
        <w:spacing w:line="240" w:lineRule="auto"/>
      </w:pPr>
    </w:p>
    <w:p w14:paraId="35E543EF" w14:textId="77777777" w:rsidR="00866A74" w:rsidRPr="00615BA5" w:rsidRDefault="00866A74" w:rsidP="00C95BA9">
      <w:pPr>
        <w:pStyle w:val="Heading1"/>
        <w:spacing w:line="240" w:lineRule="auto"/>
      </w:pPr>
      <w:bookmarkStart w:id="13" w:name="_Toc536628936"/>
      <w:r w:rsidRPr="00615BA5">
        <w:t>6.2.13. Highest and Best Use</w:t>
      </w:r>
      <w:bookmarkEnd w:id="13"/>
    </w:p>
    <w:p w14:paraId="376BFF1E" w14:textId="5CCC51B5" w:rsidR="00866A74" w:rsidRPr="00615BA5" w:rsidRDefault="00866A74" w:rsidP="00C95BA9">
      <w:pPr>
        <w:spacing w:line="240" w:lineRule="auto"/>
        <w:rPr>
          <w:lang w:val="en-CA"/>
        </w:rPr>
      </w:pPr>
      <w:r w:rsidRPr="006A3D41">
        <w:rPr>
          <w:b/>
        </w:rPr>
        <w:t xml:space="preserve">6.2.13: </w:t>
      </w:r>
      <w:r w:rsidR="008324AD" w:rsidRPr="006A3D41">
        <w:rPr>
          <w:b/>
        </w:rPr>
        <w:t>In a report, a Member must</w:t>
      </w:r>
      <w:r w:rsidRPr="006A3D41">
        <w:rPr>
          <w:b/>
        </w:rPr>
        <w:t xml:space="preserve"> </w:t>
      </w:r>
      <w:r w:rsidRPr="006A3D41">
        <w:rPr>
          <w:b/>
          <w:lang w:val="en-CA"/>
        </w:rPr>
        <w:t>define, analyze and resolve the highest and best use;</w:t>
      </w:r>
      <w:r w:rsidRPr="00615BA5">
        <w:rPr>
          <w:lang w:val="en-CA"/>
        </w:rPr>
        <w:t xml:space="preserve">  </w:t>
      </w:r>
    </w:p>
    <w:p w14:paraId="4526ECD4" w14:textId="30098657" w:rsidR="00866A74" w:rsidRPr="00615BA5" w:rsidRDefault="00C92C65" w:rsidP="00C95BA9">
      <w:pPr>
        <w:spacing w:line="240" w:lineRule="auto"/>
      </w:pPr>
      <w:r>
        <w:t>Peer Reviewers have noted that so</w:t>
      </w:r>
      <w:r w:rsidRPr="00615BA5">
        <w:t xml:space="preserve">me </w:t>
      </w:r>
      <w:r w:rsidR="00866A74" w:rsidRPr="00615BA5">
        <w:t xml:space="preserve">reports </w:t>
      </w:r>
      <w:r>
        <w:t>provide a</w:t>
      </w:r>
      <w:r w:rsidR="00866A74" w:rsidRPr="00615BA5">
        <w:t xml:space="preserve"> Definition of Highest and Best Use</w:t>
      </w:r>
      <w:r>
        <w:t xml:space="preserve"> (HBU)</w:t>
      </w:r>
      <w:r w:rsidR="00866A74" w:rsidRPr="00615BA5">
        <w:t xml:space="preserve">, but do not resolve </w:t>
      </w:r>
      <w:r>
        <w:t>the highest and best use of the subject property</w:t>
      </w:r>
      <w:r w:rsidR="00866A74" w:rsidRPr="00615BA5">
        <w:t xml:space="preserve">.   </w:t>
      </w:r>
    </w:p>
    <w:p w14:paraId="01584D12" w14:textId="03076674" w:rsidR="00866A74" w:rsidRPr="00615BA5" w:rsidRDefault="00866A74" w:rsidP="00C95BA9">
      <w:pPr>
        <w:spacing w:line="240" w:lineRule="auto"/>
      </w:pPr>
      <w:r w:rsidRPr="00615BA5">
        <w:t xml:space="preserve">Some reports do not analyze </w:t>
      </w:r>
      <w:r w:rsidR="00C92C65">
        <w:t xml:space="preserve">the </w:t>
      </w:r>
      <w:r w:rsidRPr="00615BA5">
        <w:t xml:space="preserve">HBU for </w:t>
      </w:r>
      <w:r w:rsidR="00C92C65">
        <w:t xml:space="preserve">the subject property </w:t>
      </w:r>
      <w:r w:rsidRPr="00615BA5">
        <w:t xml:space="preserve">both </w:t>
      </w:r>
      <w:r w:rsidR="00C92C65">
        <w:t xml:space="preserve">As </w:t>
      </w:r>
      <w:r w:rsidRPr="00615BA5">
        <w:t xml:space="preserve">Improved and </w:t>
      </w:r>
      <w:proofErr w:type="gramStart"/>
      <w:r w:rsidR="00C92C65">
        <w:t>As</w:t>
      </w:r>
      <w:proofErr w:type="gramEnd"/>
      <w:r w:rsidR="00C92C65">
        <w:t xml:space="preserve"> if </w:t>
      </w:r>
      <w:r w:rsidRPr="00615BA5">
        <w:t xml:space="preserve">Vacant.  H&amp;BU is a fundamental principle that must be considered </w:t>
      </w:r>
      <w:r w:rsidR="00C92C65" w:rsidRPr="00615BA5">
        <w:t>or</w:t>
      </w:r>
      <w:r w:rsidR="00C92C65">
        <w:t xml:space="preserve">, if not considered, </w:t>
      </w:r>
      <w:r w:rsidRPr="00615BA5">
        <w:t>an assumption/limiting condition should be invoked.</w:t>
      </w:r>
    </w:p>
    <w:p w14:paraId="33916D07" w14:textId="5EB1A609" w:rsidR="00866A74" w:rsidRPr="00615BA5" w:rsidRDefault="00866A74" w:rsidP="00C95BA9">
      <w:pPr>
        <w:spacing w:line="240" w:lineRule="auto"/>
      </w:pPr>
      <w:r w:rsidRPr="00615BA5">
        <w:lastRenderedPageBreak/>
        <w:t xml:space="preserve">Some reports include statements like "Highest and Best Use for the subject conforms to its existing use as a single family dwelling". It would appear that this statement may confuse Zoning </w:t>
      </w:r>
      <w:r w:rsidR="00C92C65">
        <w:t>with</w:t>
      </w:r>
      <w:r w:rsidR="00C92C65" w:rsidRPr="00615BA5">
        <w:t xml:space="preserve"> </w:t>
      </w:r>
      <w:r w:rsidRPr="00615BA5">
        <w:t xml:space="preserve">permitted uses. </w:t>
      </w:r>
    </w:p>
    <w:p w14:paraId="6D1075F1" w14:textId="603B8B5F" w:rsidR="00866A74" w:rsidRPr="00615BA5" w:rsidRDefault="00866A74" w:rsidP="00C95BA9">
      <w:pPr>
        <w:spacing w:line="240" w:lineRule="auto"/>
      </w:pPr>
      <w:r w:rsidRPr="00615BA5">
        <w:t>One question</w:t>
      </w:r>
      <w:r w:rsidR="00C92C65">
        <w:t xml:space="preserve"> to ask when preparing a report</w:t>
      </w:r>
      <w:r w:rsidRPr="00615BA5">
        <w:t xml:space="preserve"> is: “If the land were vacant, would the existing use be the highest and best use or would an alternative use be more probable? “  This requires a larger explanation than a </w:t>
      </w:r>
      <w:r w:rsidR="00C92C65">
        <w:t>one</w:t>
      </w:r>
      <w:r w:rsidRPr="00615BA5">
        <w:t xml:space="preserve"> line statement.</w:t>
      </w:r>
    </w:p>
    <w:p w14:paraId="2B898012" w14:textId="2C303938" w:rsidR="00866A74" w:rsidRPr="00615BA5" w:rsidRDefault="00866A74" w:rsidP="00C95BA9">
      <w:pPr>
        <w:spacing w:line="240" w:lineRule="auto"/>
      </w:pPr>
      <w:r w:rsidRPr="00615BA5">
        <w:t>In this section, land value is sometimes referenced and statements similar to this are made: “</w:t>
      </w:r>
      <w:r w:rsidRPr="00615BA5">
        <w:rPr>
          <w:i/>
        </w:rPr>
        <w:t xml:space="preserve">Based on </w:t>
      </w:r>
      <w:r w:rsidR="00C92C65">
        <w:rPr>
          <w:i/>
        </w:rPr>
        <w:t>MLS</w:t>
      </w:r>
      <w:r w:rsidR="00C92C65" w:rsidRPr="00615BA5">
        <w:rPr>
          <w:i/>
        </w:rPr>
        <w:t xml:space="preserve"> </w:t>
      </w:r>
      <w:r w:rsidRPr="00615BA5">
        <w:rPr>
          <w:i/>
        </w:rPr>
        <w:t>data and land titles</w:t>
      </w:r>
      <w:r w:rsidRPr="00615BA5">
        <w:t>.”  We recommend us</w:t>
      </w:r>
      <w:r w:rsidR="00C92C65">
        <w:t>ing</w:t>
      </w:r>
      <w:r w:rsidRPr="00615BA5">
        <w:t xml:space="preserve"> this section</w:t>
      </w:r>
      <w:r w:rsidR="00C92C65">
        <w:t xml:space="preserve"> of the report to</w:t>
      </w:r>
      <w:r w:rsidRPr="00615BA5">
        <w:t xml:space="preserve"> include a short discussion on </w:t>
      </w:r>
      <w:r w:rsidR="00C92C65">
        <w:t>exactly</w:t>
      </w:r>
      <w:r w:rsidR="00C92C65" w:rsidRPr="00615BA5">
        <w:t xml:space="preserve"> </w:t>
      </w:r>
      <w:r w:rsidRPr="00615BA5">
        <w:t xml:space="preserve">what was reviewed as </w:t>
      </w:r>
      <w:proofErr w:type="spellStart"/>
      <w:r w:rsidRPr="00615BA5">
        <w:t>comparables</w:t>
      </w:r>
      <w:proofErr w:type="spellEnd"/>
      <w:r w:rsidRPr="00615BA5">
        <w:t xml:space="preserve">.  For example, it could be noted that vacant land sales that were reviewed are located in the same and highly similar </w:t>
      </w:r>
      <w:proofErr w:type="spellStart"/>
      <w:r w:rsidRPr="00615BA5">
        <w:t>neighbourhoods</w:t>
      </w:r>
      <w:proofErr w:type="spellEnd"/>
      <w:r w:rsidRPr="00615BA5">
        <w:t xml:space="preserve"> and that these sales have similar lot frontage, area, zoning and topography.  The higher the proportion of land value</w:t>
      </w:r>
      <w:r w:rsidR="00C92C65">
        <w:t xml:space="preserve"> in the final estimate of value</w:t>
      </w:r>
      <w:r w:rsidRPr="00615BA5">
        <w:t>, the more important the land analysis becomes.</w:t>
      </w:r>
    </w:p>
    <w:p w14:paraId="550308C8" w14:textId="77777777" w:rsidR="00866A74" w:rsidRPr="00615BA5" w:rsidRDefault="00866A74" w:rsidP="00C95BA9">
      <w:pPr>
        <w:spacing w:line="240" w:lineRule="auto"/>
      </w:pPr>
      <w:r w:rsidRPr="00615BA5">
        <w:t>See the following for more background on HBU:</w:t>
      </w:r>
    </w:p>
    <w:p w14:paraId="7074BD1D" w14:textId="77777777" w:rsidR="00866A74" w:rsidRPr="00615BA5" w:rsidRDefault="003E40F0" w:rsidP="00C95BA9">
      <w:pPr>
        <w:spacing w:line="240" w:lineRule="auto"/>
      </w:pPr>
      <w:hyperlink r:id="rId33" w:history="1">
        <w:r w:rsidR="00866A74" w:rsidRPr="00615BA5">
          <w:rPr>
            <w:rStyle w:val="Hyperlink"/>
          </w:rPr>
          <w:t>https://www.aicanada.ca/article/shades-of-gray-highest-and-best-use/</w:t>
        </w:r>
      </w:hyperlink>
    </w:p>
    <w:p w14:paraId="49880748" w14:textId="77777777" w:rsidR="00866A74" w:rsidRPr="00615BA5" w:rsidRDefault="003E40F0" w:rsidP="00C95BA9">
      <w:pPr>
        <w:spacing w:line="240" w:lineRule="auto"/>
      </w:pPr>
      <w:hyperlink r:id="rId34" w:history="1">
        <w:r w:rsidR="00866A74" w:rsidRPr="00615BA5">
          <w:rPr>
            <w:rStyle w:val="Hyperlink"/>
          </w:rPr>
          <w:t>https://www.aicanada.ca/article/highest-and-best-use-analysis/</w:t>
        </w:r>
      </w:hyperlink>
    </w:p>
    <w:p w14:paraId="028C37D7" w14:textId="45B4ABF4" w:rsidR="00866A74" w:rsidRPr="00615BA5" w:rsidRDefault="00866A74" w:rsidP="00C95BA9">
      <w:pPr>
        <w:spacing w:line="240" w:lineRule="auto"/>
      </w:pPr>
      <w:r w:rsidRPr="00615BA5">
        <w:t>See UBC CPD 105</w:t>
      </w:r>
      <w:r w:rsidR="006D2C0B">
        <w:t>: Highest and Best Use Analysis:</w:t>
      </w:r>
    </w:p>
    <w:p w14:paraId="5846EF0C" w14:textId="77777777" w:rsidR="00866A74" w:rsidRPr="00615BA5" w:rsidRDefault="003E40F0" w:rsidP="00C95BA9">
      <w:pPr>
        <w:spacing w:line="240" w:lineRule="auto"/>
      </w:pPr>
      <w:hyperlink r:id="rId35" w:history="1">
        <w:r w:rsidR="00866A74" w:rsidRPr="00615BA5">
          <w:rPr>
            <w:rStyle w:val="Hyperlink"/>
          </w:rPr>
          <w:t>http://www.sauder.ubc.ca/Programs/Real_Estate_Division/Credit_Programs_and_Professional_Development_Courses/Professional_Development_Courses</w:t>
        </w:r>
      </w:hyperlink>
    </w:p>
    <w:p w14:paraId="1CFB6D83" w14:textId="77777777" w:rsidR="00EA62FE" w:rsidRPr="00615BA5" w:rsidRDefault="00EA62FE" w:rsidP="00C95BA9">
      <w:pPr>
        <w:pStyle w:val="Heading1"/>
        <w:spacing w:line="240" w:lineRule="auto"/>
      </w:pPr>
      <w:bookmarkStart w:id="14" w:name="_Toc536628937"/>
      <w:r w:rsidRPr="00615BA5">
        <w:t>6.2.1</w:t>
      </w:r>
      <w:r w:rsidR="00DD5F21" w:rsidRPr="00615BA5">
        <w:t>4</w:t>
      </w:r>
      <w:r w:rsidRPr="00615BA5">
        <w:t>. Data</w:t>
      </w:r>
      <w:bookmarkEnd w:id="14"/>
    </w:p>
    <w:p w14:paraId="74A503B8" w14:textId="510FD30A" w:rsidR="00EA62FE" w:rsidRPr="00615BA5" w:rsidRDefault="00EA62FE" w:rsidP="00C95BA9">
      <w:pPr>
        <w:spacing w:line="240" w:lineRule="auto"/>
        <w:rPr>
          <w:lang w:val="en-CA"/>
        </w:rPr>
      </w:pPr>
      <w:r w:rsidRPr="006A3D41">
        <w:rPr>
          <w:b/>
        </w:rPr>
        <w:t>6.2.1</w:t>
      </w:r>
      <w:r w:rsidR="00DD5F21" w:rsidRPr="006A3D41">
        <w:rPr>
          <w:b/>
        </w:rPr>
        <w:t>4</w:t>
      </w:r>
      <w:r w:rsidRPr="006A3D41">
        <w:rPr>
          <w:b/>
        </w:rPr>
        <w:t xml:space="preserve">: </w:t>
      </w:r>
      <w:r w:rsidR="008324AD" w:rsidRPr="006A3D41">
        <w:rPr>
          <w:b/>
        </w:rPr>
        <w:t>In a report, a Member must</w:t>
      </w:r>
      <w:r w:rsidRPr="006A3D41">
        <w:rPr>
          <w:b/>
        </w:rPr>
        <w:t xml:space="preserve"> describe and analyze all data relevant to the assignment;</w:t>
      </w:r>
      <w:r w:rsidRPr="00615BA5">
        <w:t xml:space="preserve"> </w:t>
      </w:r>
    </w:p>
    <w:p w14:paraId="798C8E78" w14:textId="0308D7C6" w:rsidR="00EA62FE" w:rsidRPr="00615BA5" w:rsidRDefault="00EA62FE" w:rsidP="00C95BA9">
      <w:pPr>
        <w:pStyle w:val="Default"/>
        <w:spacing w:after="120"/>
        <w:rPr>
          <w:rFonts w:asciiTheme="minorHAnsi" w:hAnsiTheme="minorHAnsi" w:cstheme="minorHAnsi"/>
          <w:lang w:val="en-US"/>
        </w:rPr>
      </w:pPr>
      <w:r w:rsidRPr="00615BA5">
        <w:rPr>
          <w:rFonts w:asciiTheme="minorHAnsi" w:hAnsiTheme="minorHAnsi" w:cstheme="minorHAnsi"/>
          <w:lang w:val="en-US"/>
        </w:rPr>
        <w:t>We recommend ensuring an adequate list and discussion of the sales that the appraiser reviewed and considered for the D</w:t>
      </w:r>
      <w:r w:rsidR="00C92C65">
        <w:rPr>
          <w:rFonts w:asciiTheme="minorHAnsi" w:hAnsiTheme="minorHAnsi" w:cstheme="minorHAnsi"/>
          <w:lang w:val="en-US"/>
        </w:rPr>
        <w:t>irect Comparison Approach</w:t>
      </w:r>
      <w:r w:rsidRPr="00615BA5">
        <w:rPr>
          <w:rFonts w:asciiTheme="minorHAnsi" w:hAnsiTheme="minorHAnsi" w:cstheme="minorHAnsi"/>
          <w:lang w:val="en-US"/>
        </w:rPr>
        <w:t xml:space="preserve">.  Some reports include only 3 sales when many other good </w:t>
      </w:r>
      <w:proofErr w:type="spellStart"/>
      <w:r w:rsidRPr="00615BA5">
        <w:rPr>
          <w:rFonts w:asciiTheme="minorHAnsi" w:hAnsiTheme="minorHAnsi" w:cstheme="minorHAnsi"/>
          <w:lang w:val="en-US"/>
        </w:rPr>
        <w:t>comparables</w:t>
      </w:r>
      <w:proofErr w:type="spellEnd"/>
      <w:r w:rsidRPr="00615BA5">
        <w:rPr>
          <w:rFonts w:asciiTheme="minorHAnsi" w:hAnsiTheme="minorHAnsi" w:cstheme="minorHAnsi"/>
          <w:lang w:val="en-US"/>
        </w:rPr>
        <w:t xml:space="preserve"> could be included to support the valuation.  The choice of sales is a common complaint, so it may be better to include the list rather than </w:t>
      </w:r>
      <w:r w:rsidR="007B2C48">
        <w:rPr>
          <w:rFonts w:asciiTheme="minorHAnsi" w:hAnsiTheme="minorHAnsi" w:cstheme="minorHAnsi"/>
          <w:lang w:val="en-US"/>
        </w:rPr>
        <w:t xml:space="preserve">have to defend your choices </w:t>
      </w:r>
      <w:r w:rsidRPr="00615BA5">
        <w:rPr>
          <w:rFonts w:asciiTheme="minorHAnsi" w:hAnsiTheme="minorHAnsi" w:cstheme="minorHAnsi"/>
          <w:lang w:val="en-US"/>
        </w:rPr>
        <w:t xml:space="preserve">additional sales are brought to </w:t>
      </w:r>
      <w:r w:rsidR="007B2C48">
        <w:rPr>
          <w:rFonts w:asciiTheme="minorHAnsi" w:hAnsiTheme="minorHAnsi" w:cstheme="minorHAnsi"/>
          <w:lang w:val="en-US"/>
        </w:rPr>
        <w:t>your</w:t>
      </w:r>
      <w:r w:rsidRPr="00615BA5">
        <w:rPr>
          <w:rFonts w:asciiTheme="minorHAnsi" w:hAnsiTheme="minorHAnsi" w:cstheme="minorHAnsi"/>
          <w:lang w:val="en-US"/>
        </w:rPr>
        <w:t xml:space="preserve"> attention.</w:t>
      </w:r>
    </w:p>
    <w:p w14:paraId="20428FB3" w14:textId="2F258C98" w:rsidR="00EA62FE" w:rsidRPr="00615BA5" w:rsidRDefault="007B2C48" w:rsidP="00C95BA9">
      <w:pPr>
        <w:pStyle w:val="Default"/>
        <w:spacing w:after="120"/>
        <w:rPr>
          <w:rFonts w:asciiTheme="minorHAnsi" w:hAnsiTheme="minorHAnsi" w:cstheme="minorHAnsi"/>
          <w:lang w:val="en-US"/>
        </w:rPr>
      </w:pPr>
      <w:r>
        <w:rPr>
          <w:rFonts w:asciiTheme="minorHAnsi" w:hAnsiTheme="minorHAnsi" w:cstheme="minorHAnsi"/>
          <w:lang w:val="en-US"/>
        </w:rPr>
        <w:t>I</w:t>
      </w:r>
      <w:r w:rsidR="00EA62FE" w:rsidRPr="00615BA5">
        <w:rPr>
          <w:rFonts w:asciiTheme="minorHAnsi" w:hAnsiTheme="minorHAnsi" w:cstheme="minorHAnsi"/>
          <w:lang w:val="en-US"/>
        </w:rPr>
        <w:t xml:space="preserve">ncluding a longer list provides reassurance to clients and readers of the report that an appraiser was fully aware of other sales and the appraiser intentionally excluded sales from the </w:t>
      </w:r>
      <w:r w:rsidR="00C92C65">
        <w:rPr>
          <w:rFonts w:asciiTheme="minorHAnsi" w:hAnsiTheme="minorHAnsi" w:cstheme="minorHAnsi"/>
          <w:lang w:val="en-US"/>
        </w:rPr>
        <w:t>Direct Comparison Approach</w:t>
      </w:r>
      <w:r w:rsidR="00C92C65" w:rsidRPr="00615BA5">
        <w:rPr>
          <w:rFonts w:asciiTheme="minorHAnsi" w:hAnsiTheme="minorHAnsi" w:cstheme="minorHAnsi"/>
          <w:lang w:val="en-US"/>
        </w:rPr>
        <w:t xml:space="preserve"> </w:t>
      </w:r>
      <w:r w:rsidR="00EA62FE" w:rsidRPr="00615BA5">
        <w:rPr>
          <w:rFonts w:asciiTheme="minorHAnsi" w:hAnsiTheme="minorHAnsi" w:cstheme="minorHAnsi"/>
          <w:lang w:val="en-US"/>
        </w:rPr>
        <w:t xml:space="preserve">grid as </w:t>
      </w:r>
      <w:r>
        <w:rPr>
          <w:rFonts w:asciiTheme="minorHAnsi" w:hAnsiTheme="minorHAnsi" w:cstheme="minorHAnsi"/>
          <w:lang w:val="en-US"/>
        </w:rPr>
        <w:t>a result</w:t>
      </w:r>
      <w:r w:rsidRPr="00615BA5">
        <w:rPr>
          <w:rFonts w:asciiTheme="minorHAnsi" w:hAnsiTheme="minorHAnsi" w:cstheme="minorHAnsi"/>
          <w:lang w:val="en-US"/>
        </w:rPr>
        <w:t xml:space="preserve"> </w:t>
      </w:r>
      <w:r w:rsidR="00EA62FE" w:rsidRPr="00615BA5">
        <w:rPr>
          <w:rFonts w:asciiTheme="minorHAnsi" w:hAnsiTheme="minorHAnsi" w:cstheme="minorHAnsi"/>
          <w:lang w:val="en-US"/>
        </w:rPr>
        <w:t>of his</w:t>
      </w:r>
      <w:r>
        <w:rPr>
          <w:rFonts w:asciiTheme="minorHAnsi" w:hAnsiTheme="minorHAnsi" w:cstheme="minorHAnsi"/>
          <w:lang w:val="en-US"/>
        </w:rPr>
        <w:t>/</w:t>
      </w:r>
      <w:r w:rsidR="00EA62FE" w:rsidRPr="00615BA5">
        <w:rPr>
          <w:rFonts w:asciiTheme="minorHAnsi" w:hAnsiTheme="minorHAnsi" w:cstheme="minorHAnsi"/>
          <w:lang w:val="en-US"/>
        </w:rPr>
        <w:t xml:space="preserve">her expertise in the selection of the most </w:t>
      </w:r>
      <w:r>
        <w:rPr>
          <w:rFonts w:asciiTheme="minorHAnsi" w:hAnsiTheme="minorHAnsi" w:cstheme="minorHAnsi"/>
          <w:lang w:val="en-US"/>
        </w:rPr>
        <w:t xml:space="preserve">suitable </w:t>
      </w:r>
      <w:r w:rsidR="00EA62FE" w:rsidRPr="00615BA5">
        <w:rPr>
          <w:rFonts w:asciiTheme="minorHAnsi" w:hAnsiTheme="minorHAnsi" w:cstheme="minorHAnsi"/>
          <w:lang w:val="en-US"/>
        </w:rPr>
        <w:t xml:space="preserve">comparable sales. </w:t>
      </w:r>
    </w:p>
    <w:p w14:paraId="348F947A" w14:textId="77777777" w:rsidR="00DD5F21" w:rsidRPr="00615BA5" w:rsidRDefault="00DD5F21" w:rsidP="00C95BA9">
      <w:pPr>
        <w:pStyle w:val="Default"/>
        <w:spacing w:after="120"/>
        <w:rPr>
          <w:rFonts w:asciiTheme="minorHAnsi" w:hAnsiTheme="minorHAnsi" w:cstheme="minorHAnsi"/>
          <w:lang w:val="en-US"/>
        </w:rPr>
      </w:pPr>
      <w:r w:rsidRPr="00615BA5">
        <w:rPr>
          <w:rFonts w:asciiTheme="minorHAnsi" w:hAnsiTheme="minorHAnsi" w:cstheme="minorHAnsi"/>
          <w:lang w:val="en-US"/>
        </w:rPr>
        <w:t xml:space="preserve">If sales are excluded, this should be noted in the </w:t>
      </w:r>
      <w:proofErr w:type="spellStart"/>
      <w:r w:rsidRPr="00615BA5">
        <w:rPr>
          <w:rFonts w:asciiTheme="minorHAnsi" w:hAnsiTheme="minorHAnsi" w:cstheme="minorHAnsi"/>
          <w:lang w:val="en-US"/>
        </w:rPr>
        <w:t>workfile</w:t>
      </w:r>
      <w:proofErr w:type="spellEnd"/>
      <w:r w:rsidRPr="00615BA5">
        <w:rPr>
          <w:rFonts w:asciiTheme="minorHAnsi" w:hAnsiTheme="minorHAnsi" w:cstheme="minorHAnsi"/>
          <w:lang w:val="en-US"/>
        </w:rPr>
        <w:t xml:space="preserve"> as it is difficult to recall years later why other sales were not considered.</w:t>
      </w:r>
    </w:p>
    <w:p w14:paraId="033FECFB" w14:textId="15676B61" w:rsidR="00EA62FE" w:rsidRPr="00615BA5" w:rsidRDefault="00EA62FE" w:rsidP="00C95BA9">
      <w:pPr>
        <w:pStyle w:val="Default"/>
        <w:spacing w:after="120"/>
        <w:rPr>
          <w:rFonts w:asciiTheme="minorHAnsi" w:hAnsiTheme="minorHAnsi" w:cstheme="minorHAnsi"/>
          <w:lang w:val="en-US"/>
        </w:rPr>
      </w:pPr>
      <w:r w:rsidRPr="00615BA5">
        <w:rPr>
          <w:rFonts w:asciiTheme="minorHAnsi" w:hAnsiTheme="minorHAnsi" w:cstheme="minorHAnsi"/>
          <w:lang w:val="en-US"/>
        </w:rPr>
        <w:t>See</w:t>
      </w:r>
      <w:r w:rsidR="003A208B">
        <w:rPr>
          <w:rFonts w:asciiTheme="minorHAnsi" w:hAnsiTheme="minorHAnsi" w:cstheme="minorHAnsi"/>
          <w:lang w:val="en-US"/>
        </w:rPr>
        <w:t>:</w:t>
      </w:r>
      <w:r w:rsidRPr="00615BA5">
        <w:rPr>
          <w:rFonts w:asciiTheme="minorHAnsi" w:hAnsiTheme="minorHAnsi" w:cstheme="minorHAnsi"/>
          <w:lang w:val="en-US"/>
        </w:rPr>
        <w:t xml:space="preserve"> </w:t>
      </w:r>
      <w:hyperlink r:id="rId36" w:history="1">
        <w:r w:rsidRPr="00615BA5">
          <w:rPr>
            <w:rStyle w:val="Hyperlink"/>
            <w:rFonts w:asciiTheme="minorHAnsi" w:hAnsiTheme="minorHAnsi" w:cstheme="minorHAnsi"/>
            <w:lang w:val="en-US"/>
          </w:rPr>
          <w:t>https://aicexchange.ca/blog/due-diligence-when-is-it-due/</w:t>
        </w:r>
      </w:hyperlink>
    </w:p>
    <w:p w14:paraId="488B2C1E" w14:textId="77777777" w:rsidR="00DD5F21" w:rsidRPr="00615BA5" w:rsidRDefault="00DD5F21" w:rsidP="00C95BA9">
      <w:pPr>
        <w:pStyle w:val="Heading1"/>
        <w:spacing w:line="240" w:lineRule="auto"/>
      </w:pPr>
      <w:bookmarkStart w:id="15" w:name="_Toc536628938"/>
      <w:r w:rsidRPr="00615BA5">
        <w:t>6.2.15. Appraisal Procedures</w:t>
      </w:r>
      <w:bookmarkEnd w:id="15"/>
    </w:p>
    <w:p w14:paraId="1E285BDC" w14:textId="4E8F75CA" w:rsidR="00DD5F21" w:rsidRPr="00615BA5" w:rsidRDefault="00DD5F21" w:rsidP="00C95BA9">
      <w:pPr>
        <w:spacing w:line="240" w:lineRule="auto"/>
        <w:rPr>
          <w:lang w:val="en-CA"/>
        </w:rPr>
      </w:pPr>
      <w:r w:rsidRPr="006A3D41">
        <w:rPr>
          <w:b/>
        </w:rPr>
        <w:t xml:space="preserve">6.2.15: </w:t>
      </w:r>
      <w:r w:rsidR="008324AD" w:rsidRPr="006A3D41">
        <w:rPr>
          <w:b/>
        </w:rPr>
        <w:t>In a report, a Member must</w:t>
      </w:r>
      <w:r w:rsidRPr="006A3D41">
        <w:rPr>
          <w:b/>
        </w:rPr>
        <w:t xml:space="preserve"> </w:t>
      </w:r>
      <w:r w:rsidR="00961DEB" w:rsidRPr="006A3D41">
        <w:rPr>
          <w:b/>
        </w:rPr>
        <w:t>describe and apply the appraisal procedures relevant to the assignment and provide reasoning for the exclusion of any of the relevant valuation procedures;</w:t>
      </w:r>
      <w:r w:rsidR="00961DEB" w:rsidRPr="00615BA5">
        <w:t xml:space="preserve"> </w:t>
      </w:r>
    </w:p>
    <w:p w14:paraId="0D58BC0D" w14:textId="13041641" w:rsidR="00961DEB" w:rsidRPr="00615BA5" w:rsidRDefault="002A43AA" w:rsidP="00C95BA9">
      <w:pPr>
        <w:spacing w:line="240" w:lineRule="auto"/>
        <w:rPr>
          <w:lang w:eastAsia="en-US"/>
        </w:rPr>
      </w:pPr>
      <w:r>
        <w:rPr>
          <w:lang w:eastAsia="en-US"/>
        </w:rPr>
        <w:t>Each</w:t>
      </w:r>
      <w:r w:rsidR="00961DEB" w:rsidRPr="00615BA5">
        <w:rPr>
          <w:lang w:eastAsia="en-US"/>
        </w:rPr>
        <w:t xml:space="preserve"> approach to value used in </w:t>
      </w:r>
      <w:r>
        <w:rPr>
          <w:lang w:eastAsia="en-US"/>
        </w:rPr>
        <w:t>a</w:t>
      </w:r>
      <w:r w:rsidRPr="00615BA5">
        <w:rPr>
          <w:lang w:eastAsia="en-US"/>
        </w:rPr>
        <w:t xml:space="preserve"> </w:t>
      </w:r>
      <w:r w:rsidR="00961DEB" w:rsidRPr="00615BA5">
        <w:rPr>
          <w:lang w:eastAsia="en-US"/>
        </w:rPr>
        <w:t xml:space="preserve">report should include a brief explanation on how </w:t>
      </w:r>
      <w:r>
        <w:rPr>
          <w:lang w:eastAsia="en-US"/>
        </w:rPr>
        <w:t>it</w:t>
      </w:r>
      <w:r w:rsidR="00961DEB" w:rsidRPr="00615BA5">
        <w:rPr>
          <w:lang w:eastAsia="en-US"/>
        </w:rPr>
        <w:t xml:space="preserve"> works and </w:t>
      </w:r>
      <w:r>
        <w:rPr>
          <w:lang w:eastAsia="en-US"/>
        </w:rPr>
        <w:t>why it is</w:t>
      </w:r>
      <w:r w:rsidR="00961DEB" w:rsidRPr="00615BA5">
        <w:rPr>
          <w:lang w:eastAsia="en-US"/>
        </w:rPr>
        <w:t xml:space="preserve"> appropriate </w:t>
      </w:r>
      <w:r>
        <w:rPr>
          <w:lang w:eastAsia="en-US"/>
        </w:rPr>
        <w:t>for use</w:t>
      </w:r>
      <w:r w:rsidR="00961DEB" w:rsidRPr="00615BA5">
        <w:rPr>
          <w:lang w:eastAsia="en-US"/>
        </w:rPr>
        <w:t xml:space="preserve"> in the </w:t>
      </w:r>
      <w:r>
        <w:rPr>
          <w:lang w:eastAsia="en-US"/>
        </w:rPr>
        <w:t>report</w:t>
      </w:r>
      <w:r w:rsidR="00961DEB" w:rsidRPr="00615BA5">
        <w:rPr>
          <w:lang w:eastAsia="en-US"/>
        </w:rPr>
        <w:t>.   Typically this is included in the Scope or Narrative sections.</w:t>
      </w:r>
    </w:p>
    <w:p w14:paraId="5C434E8E" w14:textId="27840815" w:rsidR="00961DEB" w:rsidRPr="00615BA5" w:rsidRDefault="00961DEB" w:rsidP="00C95BA9">
      <w:pPr>
        <w:spacing w:line="240" w:lineRule="auto"/>
        <w:rPr>
          <w:lang w:eastAsia="en-US"/>
        </w:rPr>
      </w:pPr>
      <w:r w:rsidRPr="00615BA5">
        <w:rPr>
          <w:lang w:eastAsia="en-US"/>
        </w:rPr>
        <w:lastRenderedPageBreak/>
        <w:t xml:space="preserve">For newer properties, the Cost Approach to Value should typically be completed as it is </w:t>
      </w:r>
      <w:r w:rsidR="002A43AA">
        <w:rPr>
          <w:lang w:eastAsia="en-US"/>
        </w:rPr>
        <w:t xml:space="preserve">a </w:t>
      </w:r>
      <w:r w:rsidRPr="00615BA5">
        <w:rPr>
          <w:lang w:eastAsia="en-US"/>
        </w:rPr>
        <w:t>recognized method of appraising</w:t>
      </w:r>
      <w:r w:rsidR="002A43AA">
        <w:rPr>
          <w:lang w:eastAsia="en-US"/>
        </w:rPr>
        <w:t xml:space="preserve"> newly-built properties</w:t>
      </w:r>
      <w:r w:rsidRPr="00615BA5">
        <w:rPr>
          <w:lang w:eastAsia="en-US"/>
        </w:rPr>
        <w:t>. The exclusion of this approach must be identified and explained under Extraordinary Limiting Condition.  The same applies to other approaches to valuation – if the Income Approach is not completed for an Income Producing property,</w:t>
      </w:r>
      <w:r w:rsidR="002A43AA">
        <w:rPr>
          <w:lang w:eastAsia="en-US"/>
        </w:rPr>
        <w:t xml:space="preserve"> the report should</w:t>
      </w:r>
      <w:r w:rsidRPr="00615BA5">
        <w:rPr>
          <w:lang w:eastAsia="en-US"/>
        </w:rPr>
        <w:t xml:space="preserve"> an E</w:t>
      </w:r>
      <w:r w:rsidR="002A43AA">
        <w:rPr>
          <w:lang w:eastAsia="en-US"/>
        </w:rPr>
        <w:t>xtraordinary Limiting Condition and an explanation</w:t>
      </w:r>
      <w:r w:rsidRPr="00615BA5">
        <w:rPr>
          <w:lang w:eastAsia="en-US"/>
        </w:rPr>
        <w:t>.</w:t>
      </w:r>
    </w:p>
    <w:p w14:paraId="5A560816" w14:textId="412DA83D" w:rsidR="00961DEB" w:rsidRPr="00615BA5" w:rsidRDefault="00961DEB" w:rsidP="00C95BA9">
      <w:pPr>
        <w:spacing w:line="240" w:lineRule="auto"/>
        <w:rPr>
          <w:lang w:eastAsia="en-US"/>
        </w:rPr>
      </w:pPr>
      <w:r w:rsidRPr="00615BA5">
        <w:rPr>
          <w:lang w:eastAsia="en-US"/>
        </w:rPr>
        <w:t xml:space="preserve">When determining an “As Is” value, a “mathematical as is" calculation is </w:t>
      </w:r>
      <w:r w:rsidRPr="006A3D41">
        <w:rPr>
          <w:b/>
          <w:lang w:eastAsia="en-US"/>
        </w:rPr>
        <w:t>not</w:t>
      </w:r>
      <w:r w:rsidRPr="00615BA5">
        <w:rPr>
          <w:lang w:eastAsia="en-US"/>
        </w:rPr>
        <w:t xml:space="preserve"> a recognized valuation method.  Multiplying the estimated total construction costs of a property under construction by the percentage complete estimate in a progress inspection assignment is not acceptable</w:t>
      </w:r>
      <w:r w:rsidR="002A43AA">
        <w:rPr>
          <w:lang w:eastAsia="en-US"/>
        </w:rPr>
        <w:t>.  I</w:t>
      </w:r>
      <w:r w:rsidRPr="00615BA5">
        <w:rPr>
          <w:lang w:eastAsia="en-US"/>
        </w:rPr>
        <w:t xml:space="preserve">t does not provide an accurate "as is" market value should the property be placed on the market in its current </w:t>
      </w:r>
      <w:r w:rsidRPr="00823EC6">
        <w:rPr>
          <w:lang w:eastAsia="en-US"/>
        </w:rPr>
        <w:t xml:space="preserve">incomplete state.  </w:t>
      </w:r>
      <w:r w:rsidR="00823EC6" w:rsidRPr="00823EC6">
        <w:rPr>
          <w:lang w:eastAsia="en-US"/>
        </w:rPr>
        <w:t>A</w:t>
      </w:r>
      <w:r w:rsidRPr="00823EC6">
        <w:rPr>
          <w:lang w:eastAsia="en-US"/>
        </w:rPr>
        <w:t xml:space="preserve">ppraisers </w:t>
      </w:r>
      <w:r w:rsidR="00823EC6" w:rsidRPr="00823EC6">
        <w:rPr>
          <w:lang w:eastAsia="en-US"/>
        </w:rPr>
        <w:t xml:space="preserve">can provide "as is" valuations although this </w:t>
      </w:r>
      <w:r w:rsidRPr="00823EC6">
        <w:rPr>
          <w:lang w:eastAsia="en-US"/>
        </w:rPr>
        <w:t>may require a</w:t>
      </w:r>
      <w:r w:rsidR="00823EC6" w:rsidRPr="00823EC6">
        <w:rPr>
          <w:lang w:eastAsia="en-US"/>
        </w:rPr>
        <w:t xml:space="preserve"> more in</w:t>
      </w:r>
      <w:r w:rsidR="00823EC6">
        <w:rPr>
          <w:lang w:eastAsia="en-US"/>
        </w:rPr>
        <w:t>-</w:t>
      </w:r>
      <w:r w:rsidR="00823EC6" w:rsidRPr="00823EC6">
        <w:rPr>
          <w:lang w:eastAsia="en-US"/>
        </w:rPr>
        <w:t>depth</w:t>
      </w:r>
      <w:r w:rsidRPr="00823EC6">
        <w:rPr>
          <w:lang w:eastAsia="en-US"/>
        </w:rPr>
        <w:t xml:space="preserve"> </w:t>
      </w:r>
      <w:r w:rsidR="00823EC6" w:rsidRPr="00823EC6">
        <w:rPr>
          <w:lang w:eastAsia="en-US"/>
        </w:rPr>
        <w:t>property</w:t>
      </w:r>
      <w:r w:rsidR="002A43AA" w:rsidRPr="00823EC6">
        <w:rPr>
          <w:lang w:eastAsia="en-US"/>
        </w:rPr>
        <w:t xml:space="preserve"> </w:t>
      </w:r>
      <w:r w:rsidRPr="00823EC6">
        <w:rPr>
          <w:lang w:eastAsia="en-US"/>
        </w:rPr>
        <w:t xml:space="preserve">condition </w:t>
      </w:r>
      <w:r w:rsidR="00823EC6">
        <w:rPr>
          <w:lang w:eastAsia="en-US"/>
        </w:rPr>
        <w:t>analysis</w:t>
      </w:r>
      <w:r w:rsidRPr="00823EC6">
        <w:rPr>
          <w:lang w:eastAsia="en-US"/>
        </w:rPr>
        <w:t xml:space="preserve">, </w:t>
      </w:r>
      <w:r w:rsidR="00823EC6">
        <w:rPr>
          <w:lang w:eastAsia="en-US"/>
        </w:rPr>
        <w:t>an e</w:t>
      </w:r>
      <w:r w:rsidR="002A43AA" w:rsidRPr="00823EC6">
        <w:rPr>
          <w:lang w:eastAsia="en-US"/>
        </w:rPr>
        <w:t xml:space="preserve">stimate for the </w:t>
      </w:r>
      <w:r w:rsidRPr="00823EC6">
        <w:rPr>
          <w:lang w:eastAsia="en-US"/>
        </w:rPr>
        <w:t>cost to cure</w:t>
      </w:r>
      <w:r w:rsidR="002A43AA" w:rsidRPr="00823EC6">
        <w:rPr>
          <w:lang w:eastAsia="en-US"/>
        </w:rPr>
        <w:t>,</w:t>
      </w:r>
      <w:r w:rsidRPr="00823EC6">
        <w:rPr>
          <w:lang w:eastAsia="en-US"/>
        </w:rPr>
        <w:t xml:space="preserve"> or a </w:t>
      </w:r>
      <w:r w:rsidR="00823EC6">
        <w:rPr>
          <w:lang w:eastAsia="en-US"/>
        </w:rPr>
        <w:t>separate</w:t>
      </w:r>
      <w:r w:rsidRPr="00823EC6">
        <w:rPr>
          <w:lang w:eastAsia="en-US"/>
        </w:rPr>
        <w:t xml:space="preserve"> set of similarly unfinished </w:t>
      </w:r>
      <w:proofErr w:type="spellStart"/>
      <w:r w:rsidRPr="00823EC6">
        <w:rPr>
          <w:lang w:eastAsia="en-US"/>
        </w:rPr>
        <w:t>comparables</w:t>
      </w:r>
      <w:proofErr w:type="spellEnd"/>
      <w:r w:rsidRPr="00823EC6">
        <w:rPr>
          <w:lang w:eastAsia="en-US"/>
        </w:rPr>
        <w:t>.</w:t>
      </w:r>
      <w:r w:rsidRPr="00615BA5">
        <w:rPr>
          <w:lang w:eastAsia="en-US"/>
        </w:rPr>
        <w:t xml:space="preserve">  </w:t>
      </w:r>
      <w:r w:rsidR="00823EC6">
        <w:rPr>
          <w:lang w:eastAsia="en-US"/>
        </w:rPr>
        <w:t xml:space="preserve"> Remember that you may have to look to non-MLS sources in “as is” valuations.</w:t>
      </w:r>
    </w:p>
    <w:p w14:paraId="31812D61" w14:textId="65189055" w:rsidR="00961DEB" w:rsidRPr="00615BA5" w:rsidRDefault="00961DEB" w:rsidP="00C95BA9">
      <w:pPr>
        <w:spacing w:line="240" w:lineRule="auto"/>
        <w:rPr>
          <w:lang w:eastAsia="en-US"/>
        </w:rPr>
      </w:pPr>
      <w:r w:rsidRPr="00615BA5">
        <w:rPr>
          <w:lang w:eastAsia="en-US"/>
        </w:rPr>
        <w:t>See</w:t>
      </w:r>
      <w:r w:rsidR="003A208B">
        <w:rPr>
          <w:lang w:eastAsia="en-US"/>
        </w:rPr>
        <w:t>:</w:t>
      </w:r>
      <w:r w:rsidRPr="00615BA5">
        <w:rPr>
          <w:lang w:eastAsia="en-US"/>
        </w:rPr>
        <w:t xml:space="preserve"> </w:t>
      </w:r>
      <w:r w:rsidR="002A43AA">
        <w:rPr>
          <w:lang w:eastAsia="en-US"/>
        </w:rPr>
        <w:t>Practice Note</w:t>
      </w:r>
      <w:r w:rsidR="002A43AA" w:rsidRPr="00615BA5">
        <w:rPr>
          <w:lang w:eastAsia="en-US"/>
        </w:rPr>
        <w:t xml:space="preserve"> </w:t>
      </w:r>
      <w:r w:rsidRPr="00615BA5">
        <w:rPr>
          <w:lang w:eastAsia="en-US"/>
        </w:rPr>
        <w:t>18.15.7</w:t>
      </w:r>
    </w:p>
    <w:p w14:paraId="6F8FCE1F" w14:textId="77777777" w:rsidR="00E037DF" w:rsidRPr="00615BA5" w:rsidRDefault="00E037DF" w:rsidP="00C95BA9">
      <w:pPr>
        <w:pStyle w:val="Heading1"/>
        <w:spacing w:line="240" w:lineRule="auto"/>
      </w:pPr>
      <w:bookmarkStart w:id="16" w:name="_Toc536628939"/>
      <w:r w:rsidRPr="00615BA5">
        <w:t>6.2.16. Detail Your Reasoning</w:t>
      </w:r>
      <w:bookmarkEnd w:id="16"/>
    </w:p>
    <w:p w14:paraId="7AE37AF0" w14:textId="7A66098E" w:rsidR="00E037DF" w:rsidRPr="00615BA5" w:rsidRDefault="00E037DF" w:rsidP="00C95BA9">
      <w:pPr>
        <w:spacing w:line="240" w:lineRule="auto"/>
        <w:rPr>
          <w:lang w:val="en-CA"/>
        </w:rPr>
      </w:pPr>
      <w:r w:rsidRPr="006A3D41">
        <w:rPr>
          <w:b/>
        </w:rPr>
        <w:t xml:space="preserve">6.2.16: </w:t>
      </w:r>
      <w:r w:rsidR="008324AD" w:rsidRPr="006A3D41">
        <w:rPr>
          <w:b/>
        </w:rPr>
        <w:t>In a report, a Member must</w:t>
      </w:r>
      <w:r w:rsidRPr="006A3D41">
        <w:rPr>
          <w:b/>
        </w:rPr>
        <w:t xml:space="preserve"> </w:t>
      </w:r>
      <w:r w:rsidRPr="006A3D41">
        <w:rPr>
          <w:b/>
          <w:lang w:val="en-CA"/>
        </w:rPr>
        <w:t>detail the reasoning supporting the analyses, opinions and conclusions of each valuation approach</w:t>
      </w:r>
      <w:r w:rsidRPr="00615BA5">
        <w:rPr>
          <w:lang w:val="en-CA"/>
        </w:rPr>
        <w:t xml:space="preserve">;  </w:t>
      </w:r>
    </w:p>
    <w:p w14:paraId="03F036D0" w14:textId="5319786F" w:rsidR="00E037DF" w:rsidRPr="00615BA5" w:rsidRDefault="002A43AA" w:rsidP="00C95BA9">
      <w:pPr>
        <w:spacing w:line="240" w:lineRule="auto"/>
        <w:rPr>
          <w:lang w:eastAsia="en-US"/>
        </w:rPr>
      </w:pPr>
      <w:r>
        <w:rPr>
          <w:lang w:eastAsia="en-US"/>
        </w:rPr>
        <w:t>Peer Reviewers have found that Candidates often have the most difficulty complying with t</w:t>
      </w:r>
      <w:r w:rsidR="00EF52AF" w:rsidRPr="00615BA5">
        <w:rPr>
          <w:lang w:eastAsia="en-US"/>
        </w:rPr>
        <w:t>his rule.  A lack of detail</w:t>
      </w:r>
      <w:r w:rsidR="00F00A13">
        <w:rPr>
          <w:lang w:eastAsia="en-US"/>
        </w:rPr>
        <w:t xml:space="preserve">ed </w:t>
      </w:r>
      <w:r w:rsidR="00885D95">
        <w:rPr>
          <w:lang w:eastAsia="en-US"/>
        </w:rPr>
        <w:t>reasoning</w:t>
      </w:r>
      <w:r w:rsidR="00F00A13">
        <w:rPr>
          <w:lang w:eastAsia="en-US"/>
        </w:rPr>
        <w:t xml:space="preserve"> </w:t>
      </w:r>
      <w:r w:rsidR="00885D95">
        <w:rPr>
          <w:lang w:eastAsia="en-US"/>
        </w:rPr>
        <w:t>for adjustments,</w:t>
      </w:r>
      <w:r w:rsidR="00EF52AF" w:rsidRPr="00615BA5">
        <w:rPr>
          <w:lang w:eastAsia="en-US"/>
        </w:rPr>
        <w:t xml:space="preserve"> or mistakes</w:t>
      </w:r>
      <w:r w:rsidR="00885D95">
        <w:rPr>
          <w:lang w:eastAsia="en-US"/>
        </w:rPr>
        <w:t>,</w:t>
      </w:r>
      <w:r w:rsidR="00EF52AF" w:rsidRPr="00615BA5">
        <w:rPr>
          <w:lang w:eastAsia="en-US"/>
        </w:rPr>
        <w:t xml:space="preserve"> within the D</w:t>
      </w:r>
      <w:r w:rsidR="00F00A13">
        <w:rPr>
          <w:lang w:eastAsia="en-US"/>
        </w:rPr>
        <w:t>irect Comparison Approach</w:t>
      </w:r>
      <w:r w:rsidR="00EF52AF" w:rsidRPr="00615BA5">
        <w:rPr>
          <w:lang w:eastAsia="en-US"/>
        </w:rPr>
        <w:t xml:space="preserve"> can </w:t>
      </w:r>
      <w:r w:rsidR="00885D95">
        <w:rPr>
          <w:lang w:eastAsia="en-US"/>
        </w:rPr>
        <w:t>result in</w:t>
      </w:r>
      <w:r w:rsidR="00EF52AF" w:rsidRPr="00615BA5">
        <w:rPr>
          <w:lang w:eastAsia="en-US"/>
        </w:rPr>
        <w:t xml:space="preserve"> a poor, unreliable or </w:t>
      </w:r>
      <w:r w:rsidR="00885D95">
        <w:rPr>
          <w:lang w:eastAsia="en-US"/>
        </w:rPr>
        <w:t xml:space="preserve">potentially </w:t>
      </w:r>
      <w:r w:rsidR="00EF52AF" w:rsidRPr="00615BA5">
        <w:rPr>
          <w:lang w:eastAsia="en-US"/>
        </w:rPr>
        <w:t xml:space="preserve">unethical report. </w:t>
      </w:r>
      <w:r w:rsidR="00885D95">
        <w:rPr>
          <w:lang w:eastAsia="en-US"/>
        </w:rPr>
        <w:t xml:space="preserve">Any reasoning in a report </w:t>
      </w:r>
      <w:r w:rsidR="00EF52AF" w:rsidRPr="00615BA5">
        <w:rPr>
          <w:lang w:eastAsia="en-US"/>
        </w:rPr>
        <w:t xml:space="preserve">should include sufficient details, logic review, </w:t>
      </w:r>
      <w:r w:rsidRPr="00615BA5">
        <w:rPr>
          <w:lang w:eastAsia="en-US"/>
        </w:rPr>
        <w:t>and interpretation</w:t>
      </w:r>
      <w:r w:rsidR="00EF52AF" w:rsidRPr="00615BA5">
        <w:rPr>
          <w:lang w:eastAsia="en-US"/>
        </w:rPr>
        <w:t xml:space="preserve"> of data </w:t>
      </w:r>
      <w:r w:rsidR="00885D95">
        <w:rPr>
          <w:lang w:eastAsia="en-US"/>
        </w:rPr>
        <w:t>to</w:t>
      </w:r>
      <w:r w:rsidR="00EF52AF" w:rsidRPr="00615BA5">
        <w:rPr>
          <w:lang w:eastAsia="en-US"/>
        </w:rPr>
        <w:t xml:space="preserve"> support the value conclusion.</w:t>
      </w:r>
    </w:p>
    <w:p w14:paraId="35154B60" w14:textId="45710B89" w:rsidR="00EF52AF" w:rsidRPr="006A3D41" w:rsidRDefault="00070D4A" w:rsidP="00C95BA9">
      <w:pPr>
        <w:spacing w:line="240" w:lineRule="auto"/>
        <w:rPr>
          <w:b/>
        </w:rPr>
      </w:pPr>
      <w:r w:rsidRPr="002C09FF">
        <w:rPr>
          <w:b/>
        </w:rPr>
        <w:t>TIME ADJUSTMENT</w:t>
      </w:r>
    </w:p>
    <w:p w14:paraId="0CF98229" w14:textId="6A245CCA" w:rsidR="00EF52AF" w:rsidRDefault="00EF52AF" w:rsidP="00C95BA9">
      <w:pPr>
        <w:spacing w:line="240" w:lineRule="auto"/>
      </w:pPr>
      <w:r w:rsidRPr="00615BA5">
        <w:t xml:space="preserve">When the </w:t>
      </w:r>
      <w:r w:rsidR="00257D9F">
        <w:t>E</w:t>
      </w:r>
      <w:r w:rsidRPr="00615BA5">
        <w:t xml:space="preserve">ffective </w:t>
      </w:r>
      <w:r w:rsidR="00257D9F">
        <w:t>D</w:t>
      </w:r>
      <w:r w:rsidRPr="00615BA5">
        <w:t xml:space="preserve">ate is months from the comparable sale dates, you should provide an adjustment for market conditions/time OR provide an explanation </w:t>
      </w:r>
      <w:r w:rsidR="00070D4A">
        <w:t xml:space="preserve">for </w:t>
      </w:r>
      <w:r w:rsidRPr="00615BA5">
        <w:t xml:space="preserve">why no time adjustment is required.  If there are major events or milestones that occurred between the effective date and comparable sale dates, a commentary should be provided.  For example, if </w:t>
      </w:r>
      <w:r w:rsidR="00AE26E4" w:rsidRPr="00615BA5">
        <w:t>a major disaster, public or private improvement</w:t>
      </w:r>
      <w:r w:rsidR="00257D9F">
        <w:t>,</w:t>
      </w:r>
      <w:r w:rsidR="00AE26E4" w:rsidRPr="00615BA5">
        <w:t xml:space="preserve"> or macro or microeconomic event has occurred that may affect the </w:t>
      </w:r>
      <w:r w:rsidR="00257D9F">
        <w:t xml:space="preserve">value of the </w:t>
      </w:r>
      <w:r w:rsidR="00AE26E4" w:rsidRPr="00615BA5">
        <w:t>subject</w:t>
      </w:r>
      <w:r w:rsidR="00257D9F">
        <w:t xml:space="preserve"> property</w:t>
      </w:r>
      <w:r w:rsidR="00AE26E4" w:rsidRPr="00615BA5">
        <w:t>, this should be discussed</w:t>
      </w:r>
      <w:r w:rsidR="00257D9F">
        <w:t xml:space="preserve"> in the report</w:t>
      </w:r>
      <w:r w:rsidR="00AE26E4" w:rsidRPr="00615BA5">
        <w:t>.</w:t>
      </w:r>
    </w:p>
    <w:p w14:paraId="5B032207" w14:textId="1008A05B" w:rsidR="00004456" w:rsidRPr="00615BA5" w:rsidRDefault="006D2C0B" w:rsidP="00C95BA9">
      <w:pPr>
        <w:spacing w:line="240" w:lineRule="auto"/>
      </w:pPr>
      <w:r>
        <w:t xml:space="preserve">See: </w:t>
      </w:r>
      <w:hyperlink r:id="rId37" w:history="1">
        <w:r w:rsidR="00004456" w:rsidRPr="00615BA5">
          <w:rPr>
            <w:rStyle w:val="Hyperlink"/>
          </w:rPr>
          <w:t>https://aicexchange.ca/time-adjustments-why-the-average-mls-selling-price-should-not-be-taken-at-face-value/</w:t>
        </w:r>
      </w:hyperlink>
    </w:p>
    <w:p w14:paraId="18831AE1" w14:textId="70C226FA" w:rsidR="00070D4A" w:rsidRDefault="003A208B" w:rsidP="00C95BA9">
      <w:pPr>
        <w:spacing w:line="240" w:lineRule="auto"/>
      </w:pPr>
      <w:r>
        <w:t>See</w:t>
      </w:r>
      <w:r w:rsidR="006D2C0B">
        <w:t xml:space="preserve"> </w:t>
      </w:r>
      <w:r w:rsidR="00255CE3" w:rsidRPr="002C09FF">
        <w:t>Comparable Selection in a Declining Market</w:t>
      </w:r>
      <w:r w:rsidR="00255CE3" w:rsidRPr="00615BA5">
        <w:t xml:space="preserve"> </w:t>
      </w:r>
    </w:p>
    <w:p w14:paraId="223D5D28" w14:textId="78AAEF7E" w:rsidR="00255CE3" w:rsidRPr="00615BA5" w:rsidRDefault="003E40F0" w:rsidP="00C95BA9">
      <w:pPr>
        <w:pStyle w:val="Default"/>
        <w:ind w:left="90"/>
        <w:rPr>
          <w:rFonts w:asciiTheme="minorHAnsi" w:hAnsiTheme="minorHAnsi" w:cstheme="minorHAnsi"/>
          <w:lang w:val="en-US"/>
        </w:rPr>
      </w:pPr>
      <w:hyperlink r:id="rId38" w:history="1">
        <w:r w:rsidR="00255CE3" w:rsidRPr="00615BA5">
          <w:rPr>
            <w:rStyle w:val="Hyperlink"/>
            <w:rFonts w:asciiTheme="minorHAnsi" w:hAnsiTheme="minorHAnsi" w:cstheme="minorHAnsi"/>
            <w:lang w:val="en-US"/>
          </w:rPr>
          <w:t>https://www.appraisalinstitute.org/assets/1/7/guide-note-11.pdf</w:t>
        </w:r>
      </w:hyperlink>
    </w:p>
    <w:p w14:paraId="4D3149D5" w14:textId="346F9925" w:rsidR="0083064C" w:rsidRPr="006A3D41" w:rsidRDefault="00070D4A" w:rsidP="00C95BA9">
      <w:pPr>
        <w:spacing w:line="240" w:lineRule="auto"/>
        <w:rPr>
          <w:b/>
        </w:rPr>
      </w:pPr>
      <w:r w:rsidRPr="002C09FF">
        <w:rPr>
          <w:b/>
        </w:rPr>
        <w:t>LOCATION, LOCATION, LOCATION</w:t>
      </w:r>
    </w:p>
    <w:p w14:paraId="76EA5B60" w14:textId="283EA0BD" w:rsidR="0083064C" w:rsidRPr="00615BA5" w:rsidRDefault="00257D9F" w:rsidP="00C95BA9">
      <w:pPr>
        <w:spacing w:line="240" w:lineRule="auto"/>
      </w:pPr>
      <w:r>
        <w:t>If</w:t>
      </w:r>
      <w:r w:rsidRPr="00615BA5">
        <w:t xml:space="preserve"> </w:t>
      </w:r>
      <w:r w:rsidR="0083064C" w:rsidRPr="00615BA5">
        <w:t>there is no location adjustment, an explanation should be provided</w:t>
      </w:r>
      <w:r>
        <w:t xml:space="preserve"> in the report</w:t>
      </w:r>
      <w:r w:rsidR="0083064C" w:rsidRPr="00615BA5">
        <w:t xml:space="preserve">.  </w:t>
      </w:r>
      <w:r w:rsidR="00222A04">
        <w:t xml:space="preserve">An appraiser </w:t>
      </w:r>
      <w:proofErr w:type="gramStart"/>
      <w:r w:rsidR="00222A04">
        <w:t xml:space="preserve">may </w:t>
      </w:r>
      <w:r w:rsidR="0083064C" w:rsidRPr="00615BA5">
        <w:t xml:space="preserve"> discover</w:t>
      </w:r>
      <w:proofErr w:type="gramEnd"/>
      <w:r w:rsidR="0083064C" w:rsidRPr="00615BA5">
        <w:t xml:space="preserve"> </w:t>
      </w:r>
      <w:r w:rsidR="00222A04">
        <w:t>nearer, but dated comparable sales</w:t>
      </w:r>
      <w:r w:rsidR="0083064C" w:rsidRPr="00615BA5">
        <w:t xml:space="preserve"> within the neighborhood.  An appraiser should use discretion and provide an explanation when choosing </w:t>
      </w:r>
      <w:proofErr w:type="spellStart"/>
      <w:r w:rsidR="0083064C" w:rsidRPr="00615BA5">
        <w:t>comparables</w:t>
      </w:r>
      <w:proofErr w:type="spellEnd"/>
      <w:r w:rsidR="0083064C" w:rsidRPr="00615BA5">
        <w:t xml:space="preserve"> that are even 1km or 10min from the subject when a time adjusted comparable may be more appropriate.  Is it reasonable to use a comparable sale that is</w:t>
      </w:r>
      <w:r w:rsidR="00222A04">
        <w:t xml:space="preserve"> 1km,</w:t>
      </w:r>
      <w:r w:rsidR="0083064C" w:rsidRPr="00615BA5">
        <w:t xml:space="preserve"> 10km or 30minutes from the subject?</w:t>
      </w:r>
      <w:r w:rsidR="006A3D41">
        <w:t xml:space="preserve">  An appraiser must be careful </w:t>
      </w:r>
      <w:r w:rsidR="00222A04">
        <w:t>not to fall into a trap of choosing between the</w:t>
      </w:r>
      <w:r w:rsidR="006A3D41">
        <w:t xml:space="preserve"> </w:t>
      </w:r>
      <w:proofErr w:type="gramStart"/>
      <w:r w:rsidR="006A3D41">
        <w:t>location</w:t>
      </w:r>
      <w:proofErr w:type="gramEnd"/>
      <w:r w:rsidR="006A3D41">
        <w:t xml:space="preserve"> of </w:t>
      </w:r>
      <w:proofErr w:type="spellStart"/>
      <w:r w:rsidR="006A3D41">
        <w:t>comparables</w:t>
      </w:r>
      <w:proofErr w:type="spellEnd"/>
      <w:r w:rsidR="006A3D41">
        <w:t xml:space="preserve"> </w:t>
      </w:r>
      <w:r w:rsidR="00222A04">
        <w:t>versus dated comparable sales</w:t>
      </w:r>
      <w:r w:rsidR="006A3D41">
        <w:t xml:space="preserve"> when </w:t>
      </w:r>
      <w:r w:rsidR="00222A04">
        <w:t>both are possible.   Remember, there is no requirement to use only 3 sales, often 6 sales are better.</w:t>
      </w:r>
      <w:r w:rsidR="006A3D41">
        <w:t xml:space="preserve"> </w:t>
      </w:r>
      <w:r w:rsidR="00222A04">
        <w:t xml:space="preserve">  We recommend including and adjusting for additional sales for location and </w:t>
      </w:r>
      <w:proofErr w:type="spellStart"/>
      <w:r w:rsidR="00222A04">
        <w:t>saledate</w:t>
      </w:r>
      <w:proofErr w:type="spellEnd"/>
      <w:r w:rsidR="00222A04">
        <w:t>.</w:t>
      </w:r>
    </w:p>
    <w:p w14:paraId="635E2793" w14:textId="77777777" w:rsidR="003A208B" w:rsidRPr="006A3D41" w:rsidRDefault="003A208B" w:rsidP="00C95BA9">
      <w:pPr>
        <w:spacing w:line="240" w:lineRule="auto"/>
        <w:rPr>
          <w:b/>
        </w:rPr>
      </w:pPr>
    </w:p>
    <w:p w14:paraId="4958E3E1" w14:textId="4A376404" w:rsidR="00AE26E4" w:rsidRPr="006A3D41" w:rsidRDefault="00070D4A" w:rsidP="00C95BA9">
      <w:pPr>
        <w:spacing w:line="240" w:lineRule="auto"/>
        <w:rPr>
          <w:b/>
        </w:rPr>
      </w:pPr>
      <w:r w:rsidRPr="002C09FF">
        <w:rPr>
          <w:b/>
        </w:rPr>
        <w:lastRenderedPageBreak/>
        <w:t>LARGE ADJUSTMENTS</w:t>
      </w:r>
    </w:p>
    <w:p w14:paraId="722B0CFF" w14:textId="372DB829" w:rsidR="0083064C" w:rsidRPr="00615BA5" w:rsidRDefault="00896E88" w:rsidP="00C95BA9">
      <w:pPr>
        <w:spacing w:line="240" w:lineRule="auto"/>
      </w:pPr>
      <w:r>
        <w:t>Si</w:t>
      </w:r>
      <w:r w:rsidR="00EF52AF" w:rsidRPr="00615BA5">
        <w:t xml:space="preserve">gnificant adjustments of over $25,000 in the </w:t>
      </w:r>
      <w:r>
        <w:t>Direct Comparison Approach</w:t>
      </w:r>
      <w:r w:rsidR="00AE26E4" w:rsidRPr="00615BA5">
        <w:t xml:space="preserve"> </w:t>
      </w:r>
      <w:r w:rsidR="00EF52AF" w:rsidRPr="00615BA5">
        <w:t>can be challenged</w:t>
      </w:r>
      <w:r w:rsidR="00AE26E4" w:rsidRPr="00615BA5">
        <w:t xml:space="preserve"> by the client, intended user, a third party</w:t>
      </w:r>
      <w:r>
        <w:t>,</w:t>
      </w:r>
      <w:r w:rsidR="00AE26E4" w:rsidRPr="00615BA5">
        <w:t xml:space="preserve"> or in a claim</w:t>
      </w:r>
      <w:r w:rsidR="00EF52AF" w:rsidRPr="00615BA5">
        <w:t xml:space="preserve">.  </w:t>
      </w:r>
      <w:r w:rsidR="0083064C" w:rsidRPr="00615BA5">
        <w:t>Adjustments over $50,000 are commonly challenged in li</w:t>
      </w:r>
      <w:r w:rsidR="00267D6D">
        <w:t>ti</w:t>
      </w:r>
      <w:r w:rsidR="0083064C" w:rsidRPr="00615BA5">
        <w:t xml:space="preserve">gation. </w:t>
      </w:r>
      <w:r w:rsidR="00AE26E4" w:rsidRPr="00615BA5">
        <w:t xml:space="preserve"> </w:t>
      </w:r>
      <w:r w:rsidR="00F8794C" w:rsidRPr="00615BA5">
        <w:t xml:space="preserve">A buyer may be willing to pay $100,000 for a specific feature such as a driveway or other site improvements, but an adjustment should reflect the typical buyers and sellers in the market and should be easily understood and explainable.  </w:t>
      </w:r>
    </w:p>
    <w:p w14:paraId="7399F4B3" w14:textId="550F24E2" w:rsidR="00F8794C" w:rsidRPr="00615BA5" w:rsidRDefault="00AE26E4" w:rsidP="00C95BA9">
      <w:pPr>
        <w:spacing w:line="240" w:lineRule="auto"/>
      </w:pPr>
      <w:r w:rsidRPr="00615BA5">
        <w:t xml:space="preserve">Appraisers should ensure they have adequate support in the </w:t>
      </w:r>
      <w:r w:rsidR="00896E88">
        <w:t>report</w:t>
      </w:r>
      <w:r w:rsidR="00896E88" w:rsidRPr="00615BA5">
        <w:t xml:space="preserve"> </w:t>
      </w:r>
      <w:r w:rsidRPr="00615BA5">
        <w:t xml:space="preserve">and </w:t>
      </w:r>
      <w:r w:rsidR="00896E88">
        <w:t xml:space="preserve">in </w:t>
      </w:r>
      <w:r w:rsidRPr="00615BA5">
        <w:t>the</w:t>
      </w:r>
      <w:r w:rsidR="00896E88">
        <w:t>ir</w:t>
      </w:r>
      <w:r w:rsidRPr="00615BA5">
        <w:t xml:space="preserve"> </w:t>
      </w:r>
      <w:proofErr w:type="spellStart"/>
      <w:r w:rsidRPr="00615BA5">
        <w:t>workfile</w:t>
      </w:r>
      <w:proofErr w:type="spellEnd"/>
      <w:r w:rsidRPr="00615BA5">
        <w:t>.  Support can be from pair</w:t>
      </w:r>
      <w:r w:rsidR="00394211">
        <w:t>ed</w:t>
      </w:r>
      <w:r w:rsidRPr="00615BA5">
        <w:t xml:space="preserve"> sales, statistical analysis</w:t>
      </w:r>
      <w:r w:rsidR="00394211">
        <w:t>,</w:t>
      </w:r>
      <w:r w:rsidRPr="00615BA5">
        <w:t xml:space="preserve"> or other techniques.  C</w:t>
      </w:r>
      <w:r w:rsidR="00EF52AF" w:rsidRPr="00615BA5">
        <w:t>onsider using qualitative adjustments or provid</w:t>
      </w:r>
      <w:r w:rsidR="00394211">
        <w:t>ing</w:t>
      </w:r>
      <w:r w:rsidRPr="00615BA5">
        <w:t xml:space="preserve"> clear</w:t>
      </w:r>
      <w:r w:rsidR="00EF52AF" w:rsidRPr="00615BA5">
        <w:t xml:space="preserve"> rationale </w:t>
      </w:r>
      <w:r w:rsidR="00394211">
        <w:t xml:space="preserve">to </w:t>
      </w:r>
      <w:r w:rsidR="00EF52AF" w:rsidRPr="00615BA5">
        <w:t>support the adjustments</w:t>
      </w:r>
      <w:r w:rsidRPr="00615BA5">
        <w:t xml:space="preserve"> as well as ensuring large adjustments are consistent across other files</w:t>
      </w:r>
      <w:r w:rsidR="00EF52AF" w:rsidRPr="00615BA5">
        <w:t>.</w:t>
      </w:r>
    </w:p>
    <w:p w14:paraId="57C4C822" w14:textId="4D50D760" w:rsidR="00AE26E4" w:rsidRPr="006A3D41" w:rsidRDefault="00070D4A" w:rsidP="00C95BA9">
      <w:pPr>
        <w:spacing w:line="240" w:lineRule="auto"/>
        <w:rPr>
          <w:b/>
        </w:rPr>
      </w:pPr>
      <w:r w:rsidRPr="006A3D41">
        <w:rPr>
          <w:b/>
        </w:rPr>
        <w:t>MISSING ADJUSTMENTS</w:t>
      </w:r>
    </w:p>
    <w:p w14:paraId="333E9B8A" w14:textId="5A433F58" w:rsidR="00EF52AF" w:rsidRDefault="00D35321" w:rsidP="00C95BA9">
      <w:pPr>
        <w:spacing w:line="240" w:lineRule="auto"/>
      </w:pPr>
      <w:r>
        <w:t>F</w:t>
      </w:r>
      <w:r w:rsidR="00AE26E4" w:rsidRPr="00615BA5">
        <w:t xml:space="preserve">ew adjustments </w:t>
      </w:r>
      <w:r w:rsidR="004270EE">
        <w:t>in</w:t>
      </w:r>
      <w:r w:rsidR="004270EE" w:rsidRPr="00615BA5">
        <w:t xml:space="preserve"> </w:t>
      </w:r>
      <w:r w:rsidR="00AE26E4" w:rsidRPr="00615BA5">
        <w:t xml:space="preserve">the </w:t>
      </w:r>
      <w:r w:rsidR="00896E88">
        <w:t>Direct Comparison Approach</w:t>
      </w:r>
      <w:r>
        <w:t xml:space="preserve"> can also be challenged by the client, intended user, a third party, or in a claim</w:t>
      </w:r>
      <w:r w:rsidR="00EF52AF" w:rsidRPr="00615BA5">
        <w:t>.  If no adjustment for different elements (</w:t>
      </w:r>
      <w:r w:rsidR="006D2C0B" w:rsidRPr="00615BA5">
        <w:t>i.e.</w:t>
      </w:r>
      <w:r w:rsidR="00EF52AF" w:rsidRPr="00615BA5">
        <w:t>: Time/Location/Site Size/LFA</w:t>
      </w:r>
      <w:r w:rsidR="00C84778" w:rsidRPr="00615BA5">
        <w:t>/Fireplace/Air</w:t>
      </w:r>
      <w:r w:rsidR="00EF52AF" w:rsidRPr="00615BA5">
        <w:t xml:space="preserve">) </w:t>
      </w:r>
      <w:r>
        <w:t xml:space="preserve">are made in a report, </w:t>
      </w:r>
      <w:r w:rsidR="00EF52AF" w:rsidRPr="00615BA5">
        <w:t>an</w:t>
      </w:r>
      <w:r w:rsidR="00AE26E4" w:rsidRPr="00615BA5">
        <w:t xml:space="preserve"> explanation should be provided</w:t>
      </w:r>
      <w:r w:rsidR="004270EE">
        <w:t xml:space="preserve">, especially </w:t>
      </w:r>
      <w:r w:rsidR="00AE26E4" w:rsidRPr="00615BA5">
        <w:t xml:space="preserve">when it is not obvious to a reader that adjustment is </w:t>
      </w:r>
      <w:r w:rsidR="004270EE">
        <w:t xml:space="preserve">not </w:t>
      </w:r>
      <w:r w:rsidR="00AE26E4" w:rsidRPr="00615BA5">
        <w:t>required.</w:t>
      </w:r>
    </w:p>
    <w:p w14:paraId="5B7682D5" w14:textId="611E88A1" w:rsidR="00823EC6" w:rsidRDefault="00823EC6" w:rsidP="00C95BA9">
      <w:pPr>
        <w:spacing w:line="240" w:lineRule="auto"/>
      </w:pPr>
      <w:r>
        <w:t xml:space="preserve">It is not recommended to use standard descriptions such as “full/finished basement” or “full/part finished basement” as it is best to describe in detail such as “3 finished rooms / 3pc bathroom”.   The </w:t>
      </w:r>
      <w:proofErr w:type="spellStart"/>
      <w:r>
        <w:t>comparables</w:t>
      </w:r>
      <w:proofErr w:type="spellEnd"/>
      <w:r>
        <w:t xml:space="preserve"> should be described in the same way and adjusted as needed.   This way the report is clear on what was considered and what was adjusted.</w:t>
      </w:r>
    </w:p>
    <w:p w14:paraId="0A543C62" w14:textId="194F0DA2" w:rsidR="00AE26E4" w:rsidRPr="006A3D41" w:rsidRDefault="00070D4A" w:rsidP="00C95BA9">
      <w:pPr>
        <w:spacing w:line="240" w:lineRule="auto"/>
        <w:rPr>
          <w:b/>
        </w:rPr>
      </w:pPr>
      <w:r w:rsidRPr="002C09FF">
        <w:rPr>
          <w:b/>
        </w:rPr>
        <w:t>MINOR ADJUSTMENTS</w:t>
      </w:r>
    </w:p>
    <w:p w14:paraId="5C9D2A35" w14:textId="56D6D30E" w:rsidR="00EF52AF" w:rsidRPr="00615BA5" w:rsidRDefault="00EF52AF" w:rsidP="00C95BA9">
      <w:pPr>
        <w:spacing w:line="240" w:lineRule="auto"/>
      </w:pPr>
      <w:r w:rsidRPr="00615BA5">
        <w:t>Minor adjustments</w:t>
      </w:r>
      <w:r w:rsidR="00AE26E4" w:rsidRPr="00615BA5">
        <w:t xml:space="preserve"> as low as </w:t>
      </w:r>
      <w:r w:rsidRPr="00615BA5">
        <w:t>$</w:t>
      </w:r>
      <w:r w:rsidR="00AE26E4" w:rsidRPr="00615BA5">
        <w:t>1</w:t>
      </w:r>
      <w:r w:rsidRPr="00615BA5">
        <w:t xml:space="preserve">00 </w:t>
      </w:r>
      <w:r w:rsidR="00AE26E4" w:rsidRPr="00615BA5">
        <w:t xml:space="preserve">or as high as $1000 </w:t>
      </w:r>
      <w:r w:rsidRPr="00615BA5">
        <w:t xml:space="preserve">can be </w:t>
      </w:r>
      <w:r w:rsidR="00AE26E4" w:rsidRPr="00615BA5">
        <w:t>questioned and may not be</w:t>
      </w:r>
      <w:r w:rsidRPr="00615BA5">
        <w:t xml:space="preserve"> reflective of normal </w:t>
      </w:r>
      <w:proofErr w:type="spellStart"/>
      <w:r w:rsidRPr="00615BA5">
        <w:t>be</w:t>
      </w:r>
      <w:bookmarkStart w:id="17" w:name="_GoBack"/>
      <w:bookmarkEnd w:id="17"/>
      <w:r w:rsidRPr="00615BA5">
        <w:t>havio</w:t>
      </w:r>
      <w:r w:rsidR="00AE1978">
        <w:t>u</w:t>
      </w:r>
      <w:r w:rsidRPr="00615BA5">
        <w:t>r</w:t>
      </w:r>
      <w:proofErr w:type="spellEnd"/>
      <w:r w:rsidRPr="00615BA5">
        <w:t xml:space="preserve"> of mark</w:t>
      </w:r>
      <w:r w:rsidR="00AE26E4" w:rsidRPr="00615BA5">
        <w:t>et participants.  For example, a</w:t>
      </w:r>
      <w:r w:rsidRPr="00615BA5">
        <w:t xml:space="preserve"> $500 adjustment for a ½ bath in a </w:t>
      </w:r>
      <w:r w:rsidR="00AE26E4" w:rsidRPr="00615BA5">
        <w:t>multi-million dollar home may be</w:t>
      </w:r>
      <w:r w:rsidRPr="00615BA5">
        <w:t xml:space="preserve"> redundant.  </w:t>
      </w:r>
      <w:r w:rsidR="00AE26E4" w:rsidRPr="00615BA5">
        <w:t xml:space="preserve">It will depend on the assignment and the marketplace, but appraisers should be careful not to make routine minor adjustments when not warranted.  Minor adjustments may lead the reader to believe that the </w:t>
      </w:r>
      <w:r w:rsidR="00AE1978">
        <w:t>report</w:t>
      </w:r>
      <w:r w:rsidR="00AE1978" w:rsidRPr="00615BA5">
        <w:t xml:space="preserve"> </w:t>
      </w:r>
      <w:r w:rsidR="00AE26E4" w:rsidRPr="00615BA5">
        <w:t xml:space="preserve">is an estimate of value that is precise and accurate to the nearest $100. </w:t>
      </w:r>
    </w:p>
    <w:p w14:paraId="1D0B64B0" w14:textId="785F2B62" w:rsidR="00C84778" w:rsidRPr="006A3D41" w:rsidRDefault="00AE1978" w:rsidP="00C95BA9">
      <w:pPr>
        <w:spacing w:line="240" w:lineRule="auto"/>
        <w:rPr>
          <w:b/>
        </w:rPr>
      </w:pPr>
      <w:r w:rsidRPr="002C09FF">
        <w:rPr>
          <w:b/>
        </w:rPr>
        <w:t>INCONSISTENT SIZE ADJUSTMENTS</w:t>
      </w:r>
    </w:p>
    <w:p w14:paraId="592269CF" w14:textId="290812E6" w:rsidR="00BF7218" w:rsidRPr="00615BA5" w:rsidRDefault="00BF7218" w:rsidP="00C95BA9">
      <w:pPr>
        <w:spacing w:line="240" w:lineRule="auto"/>
      </w:pPr>
      <w:r w:rsidRPr="00615BA5">
        <w:t>When using a</w:t>
      </w:r>
      <w:r w:rsidR="00EF52AF" w:rsidRPr="00615BA5">
        <w:t xml:space="preserve"> </w:t>
      </w:r>
      <w:r w:rsidR="000E4493" w:rsidRPr="00615BA5">
        <w:t>L</w:t>
      </w:r>
      <w:r w:rsidR="000E4493">
        <w:t>ivable Floor Area</w:t>
      </w:r>
      <w:r w:rsidR="00EF52AF" w:rsidRPr="00615BA5">
        <w:t xml:space="preserve"> adjustment</w:t>
      </w:r>
      <w:r w:rsidRPr="00615BA5">
        <w:t xml:space="preserve"> to adjust for differences in size, ensure that you are using an appropriate adjustment across all </w:t>
      </w:r>
      <w:proofErr w:type="spellStart"/>
      <w:r w:rsidRPr="00615BA5">
        <w:t>comparables</w:t>
      </w:r>
      <w:proofErr w:type="spellEnd"/>
      <w:r w:rsidRPr="00615BA5">
        <w:t xml:space="preserve">.  If comparable #1 has a </w:t>
      </w:r>
      <w:r w:rsidR="000E4493" w:rsidRPr="00615BA5">
        <w:t>L</w:t>
      </w:r>
      <w:r w:rsidR="000E4493">
        <w:t>ivable Floor Area</w:t>
      </w:r>
      <w:r w:rsidR="000E4493" w:rsidRPr="00615BA5">
        <w:t xml:space="preserve"> </w:t>
      </w:r>
      <w:r w:rsidRPr="00615BA5">
        <w:t>adjustment of $100psf and comparable #2 has an adjustment of $150psf, an explanation should be provided</w:t>
      </w:r>
      <w:r w:rsidR="000E4493">
        <w:t xml:space="preserve"> in the report</w:t>
      </w:r>
      <w:r w:rsidRPr="00615BA5">
        <w:t>.</w:t>
      </w:r>
    </w:p>
    <w:p w14:paraId="18421B0B" w14:textId="49BE64DB" w:rsidR="00EF52AF" w:rsidRPr="00615BA5" w:rsidRDefault="00BF7218" w:rsidP="00C95BA9">
      <w:pPr>
        <w:spacing w:line="240" w:lineRule="auto"/>
      </w:pPr>
      <w:r w:rsidRPr="00615BA5">
        <w:t>When using size adjustments, remember to consider whether the rate used c</w:t>
      </w:r>
      <w:r w:rsidR="00EF52AF" w:rsidRPr="00615BA5">
        <w:t>an be derived from a residual analysis (subtracting the estimated land value and the depreciate</w:t>
      </w:r>
      <w:r w:rsidRPr="00615BA5">
        <w:t>d value of other improvements</w:t>
      </w:r>
      <w:r w:rsidR="00EF52AF" w:rsidRPr="00615BA5">
        <w:t>).  It is recommend</w:t>
      </w:r>
      <w:r w:rsidRPr="00615BA5">
        <w:t>ed to</w:t>
      </w:r>
      <w:r w:rsidR="00EF52AF" w:rsidRPr="00615BA5">
        <w:t xml:space="preserve"> support or </w:t>
      </w:r>
      <w:r w:rsidR="000E4493">
        <w:t xml:space="preserve">provide </w:t>
      </w:r>
      <w:r w:rsidR="00EF52AF" w:rsidRPr="00615BA5">
        <w:t xml:space="preserve">an explanation when </w:t>
      </w:r>
      <w:r w:rsidRPr="00615BA5">
        <w:t>rates</w:t>
      </w:r>
      <w:r w:rsidR="00EF52AF" w:rsidRPr="00615BA5">
        <w:t xml:space="preserve"> do not align </w:t>
      </w:r>
      <w:r w:rsidRPr="00615BA5">
        <w:t>between</w:t>
      </w:r>
      <w:r w:rsidR="00EF52AF" w:rsidRPr="00615BA5">
        <w:t xml:space="preserve"> the </w:t>
      </w:r>
      <w:r w:rsidR="00896E88">
        <w:t>Direct Comparison Approach</w:t>
      </w:r>
      <w:r w:rsidR="00896E88" w:rsidRPr="00615BA5">
        <w:t xml:space="preserve"> </w:t>
      </w:r>
      <w:r w:rsidR="00EF52AF" w:rsidRPr="00615BA5">
        <w:t xml:space="preserve">and Cost </w:t>
      </w:r>
      <w:r w:rsidR="00896E88">
        <w:t>A</w:t>
      </w:r>
      <w:r w:rsidR="00EF52AF" w:rsidRPr="00615BA5">
        <w:t>pproach.</w:t>
      </w:r>
    </w:p>
    <w:p w14:paraId="128C1729" w14:textId="3B62D18D" w:rsidR="00E62A3C" w:rsidRPr="00615BA5" w:rsidRDefault="00BF7218" w:rsidP="00C95BA9">
      <w:pPr>
        <w:spacing w:line="240" w:lineRule="auto"/>
      </w:pPr>
      <w:r w:rsidRPr="00615BA5">
        <w:t>The same advice applies to</w:t>
      </w:r>
      <w:r w:rsidR="00EF52AF" w:rsidRPr="00615BA5">
        <w:t xml:space="preserve"> </w:t>
      </w:r>
      <w:r w:rsidRPr="00615BA5">
        <w:t>lot</w:t>
      </w:r>
      <w:r w:rsidR="00EF52AF" w:rsidRPr="00615BA5">
        <w:t xml:space="preserve"> size.  </w:t>
      </w:r>
      <w:r w:rsidRPr="00615BA5">
        <w:t xml:space="preserve">If the land value in the </w:t>
      </w:r>
      <w:r w:rsidR="000E4493">
        <w:t>C</w:t>
      </w:r>
      <w:r w:rsidRPr="00615BA5">
        <w:t xml:space="preserve">ost </w:t>
      </w:r>
      <w:r w:rsidR="000E4493">
        <w:t>A</w:t>
      </w:r>
      <w:r w:rsidRPr="00615BA5">
        <w:t>pproach exceeds $100psf</w:t>
      </w:r>
      <w:r w:rsidR="00EF52AF" w:rsidRPr="00615BA5">
        <w:t xml:space="preserve"> </w:t>
      </w:r>
      <w:r w:rsidRPr="00615BA5">
        <w:t>but adjustments</w:t>
      </w:r>
      <w:r w:rsidR="00EF52AF" w:rsidRPr="00615BA5">
        <w:t xml:space="preserve"> </w:t>
      </w:r>
      <w:r w:rsidRPr="00615BA5">
        <w:t xml:space="preserve">in the </w:t>
      </w:r>
      <w:r w:rsidR="00896E88">
        <w:t>Direct Comparison Approach</w:t>
      </w:r>
      <w:r w:rsidR="00896E88" w:rsidRPr="00615BA5">
        <w:t xml:space="preserve"> </w:t>
      </w:r>
      <w:r w:rsidRPr="00615BA5">
        <w:t>are significantly less, this should be explained</w:t>
      </w:r>
      <w:r w:rsidR="000E4493">
        <w:t xml:space="preserve"> in the report</w:t>
      </w:r>
      <w:r w:rsidRPr="00615BA5">
        <w:t xml:space="preserve">.  It is not common for economic principles such as the </w:t>
      </w:r>
      <w:r w:rsidR="000E4493">
        <w:t>L</w:t>
      </w:r>
      <w:r w:rsidRPr="00615BA5">
        <w:t xml:space="preserve">aw of </w:t>
      </w:r>
      <w:r w:rsidR="000E4493">
        <w:t>D</w:t>
      </w:r>
      <w:r w:rsidRPr="00615BA5">
        <w:t xml:space="preserve">iminishing </w:t>
      </w:r>
      <w:r w:rsidR="000E4493">
        <w:t>R</w:t>
      </w:r>
      <w:r w:rsidRPr="00615BA5">
        <w:t xml:space="preserve">eturns or </w:t>
      </w:r>
      <w:r w:rsidR="000E4493">
        <w:t>C</w:t>
      </w:r>
      <w:r w:rsidRPr="00615BA5">
        <w:t xml:space="preserve">ontributory </w:t>
      </w:r>
      <w:r w:rsidR="000E4493">
        <w:t>V</w:t>
      </w:r>
      <w:r w:rsidRPr="00615BA5">
        <w:t xml:space="preserve">alue to explain </w:t>
      </w:r>
      <w:r w:rsidR="00716B65">
        <w:t xml:space="preserve">these types of </w:t>
      </w:r>
      <w:r w:rsidRPr="00615BA5">
        <w:t>differences.</w:t>
      </w:r>
    </w:p>
    <w:p w14:paraId="23614E0C" w14:textId="043685E2" w:rsidR="00EF52AF" w:rsidRDefault="00716B65" w:rsidP="00C95BA9">
      <w:pPr>
        <w:spacing w:line="240" w:lineRule="auto"/>
      </w:pPr>
      <w:r>
        <w:t>E</w:t>
      </w:r>
      <w:r w:rsidR="00E62A3C" w:rsidRPr="00615BA5">
        <w:t xml:space="preserve">xample </w:t>
      </w:r>
      <w:r w:rsidR="00EF52AF" w:rsidRPr="00615BA5">
        <w:t>comment:  “A 5,000 square foot lot has a similar utility as a 6,000 square foot lot, therefore the contributory value of the extra 1,000 square foot is significantly less than the unit rate market value as derived from sales data.</w:t>
      </w:r>
      <w:r w:rsidR="00E62A3C" w:rsidRPr="00615BA5">
        <w:t>”</w:t>
      </w:r>
    </w:p>
    <w:p w14:paraId="3C73C8BC" w14:textId="77777777" w:rsidR="00AF13B7" w:rsidRPr="006A3D41" w:rsidRDefault="00AF13B7" w:rsidP="00C95BA9">
      <w:pPr>
        <w:spacing w:line="240" w:lineRule="auto"/>
        <w:rPr>
          <w:b/>
        </w:rPr>
      </w:pPr>
      <w:r w:rsidRPr="006A3D41">
        <w:rPr>
          <w:b/>
        </w:rPr>
        <w:lastRenderedPageBreak/>
        <w:t>EXTRAS</w:t>
      </w:r>
    </w:p>
    <w:p w14:paraId="40E8981B" w14:textId="3D8337CA" w:rsidR="00AF13B7" w:rsidRPr="00615BA5" w:rsidRDefault="00AF13B7" w:rsidP="00C95BA9">
      <w:pPr>
        <w:spacing w:line="240" w:lineRule="auto"/>
      </w:pPr>
      <w:r w:rsidRPr="00615BA5">
        <w:t>Remember to include a discussion of all site improvements such as air condition</w:t>
      </w:r>
      <w:r>
        <w:t>ing</w:t>
      </w:r>
      <w:r w:rsidRPr="00615BA5">
        <w:t>, driveway, security system, covered porch, wood deck, hot tubs, fenc</w:t>
      </w:r>
      <w:r>
        <w:t>ing,</w:t>
      </w:r>
      <w:r w:rsidRPr="00615BA5">
        <w:t xml:space="preserve"> or other landscaping</w:t>
      </w:r>
      <w:r>
        <w:t>…..and that these items also apply in the Cost Approach.</w:t>
      </w:r>
    </w:p>
    <w:p w14:paraId="20B43577" w14:textId="77777777" w:rsidR="00AF13B7" w:rsidRPr="00615BA5" w:rsidRDefault="00AF13B7" w:rsidP="00C95BA9">
      <w:pPr>
        <w:spacing w:line="240" w:lineRule="auto"/>
      </w:pPr>
    </w:p>
    <w:p w14:paraId="37D952A6" w14:textId="56CD4519" w:rsidR="00E62A3C" w:rsidRPr="006A3D41" w:rsidRDefault="00716B65" w:rsidP="00C95BA9">
      <w:pPr>
        <w:spacing w:line="240" w:lineRule="auto"/>
        <w:rPr>
          <w:b/>
        </w:rPr>
      </w:pPr>
      <w:r w:rsidRPr="002C09FF">
        <w:rPr>
          <w:b/>
        </w:rPr>
        <w:t>RECONCILING SALES IN DIRECT COMPARISON APPROACH</w:t>
      </w:r>
    </w:p>
    <w:p w14:paraId="6CCC4545" w14:textId="1682125F" w:rsidR="00245CE4" w:rsidRDefault="00870412" w:rsidP="00C95BA9">
      <w:pPr>
        <w:spacing w:line="240" w:lineRule="auto"/>
      </w:pPr>
      <w:r w:rsidRPr="00615BA5">
        <w:t xml:space="preserve">It is not recommended to choose the average or midpoint of </w:t>
      </w:r>
      <w:r w:rsidR="007242F0">
        <w:t xml:space="preserve">the comparable </w:t>
      </w:r>
      <w:r w:rsidRPr="00615BA5">
        <w:t xml:space="preserve">sales unless you have determined that all comparable </w:t>
      </w:r>
      <w:r w:rsidR="007242F0">
        <w:t xml:space="preserve">sales </w:t>
      </w:r>
      <w:r w:rsidRPr="00615BA5">
        <w:t xml:space="preserve">receive equal weight.  </w:t>
      </w:r>
    </w:p>
    <w:p w14:paraId="28FD037D" w14:textId="738A4ECA" w:rsidR="007242F0" w:rsidRPr="00615BA5" w:rsidRDefault="00870412" w:rsidP="00C95BA9">
      <w:pPr>
        <w:spacing w:line="240" w:lineRule="auto"/>
      </w:pPr>
      <w:r w:rsidRPr="00615BA5">
        <w:t>The sale with the least gross adjustments will typically be the most comparable and should receive the most weight unless you have noted there is some unreliability with conditions of the sale or reliability of the adjustments.</w:t>
      </w:r>
      <w:r w:rsidR="007242F0" w:rsidRPr="00615BA5">
        <w:t xml:space="preserve">  When selecting a </w:t>
      </w:r>
      <w:r w:rsidR="007242F0">
        <w:t xml:space="preserve">final </w:t>
      </w:r>
      <w:r w:rsidR="007242F0" w:rsidRPr="00615BA5">
        <w:t xml:space="preserve">value or </w:t>
      </w:r>
      <w:r w:rsidR="007242F0">
        <w:t xml:space="preserve">a value </w:t>
      </w:r>
      <w:r w:rsidR="007242F0" w:rsidRPr="00615BA5">
        <w:t xml:space="preserve">range that does not align </w:t>
      </w:r>
      <w:r w:rsidR="007242F0">
        <w:t xml:space="preserve">most closely </w:t>
      </w:r>
      <w:r w:rsidR="007242F0" w:rsidRPr="00615BA5">
        <w:t xml:space="preserve">with the </w:t>
      </w:r>
      <w:r w:rsidR="007242F0">
        <w:t xml:space="preserve">comparable </w:t>
      </w:r>
      <w:r w:rsidR="007242F0" w:rsidRPr="00615BA5">
        <w:t>sale with the least gross/absolute adjustment, an explanation should be provided</w:t>
      </w:r>
      <w:r w:rsidR="007242F0">
        <w:t xml:space="preserve"> in the report</w:t>
      </w:r>
      <w:r w:rsidR="007242F0" w:rsidRPr="00615BA5">
        <w:t>.</w:t>
      </w:r>
    </w:p>
    <w:p w14:paraId="70183EF6" w14:textId="5B32D3C0" w:rsidR="00F52B05" w:rsidRDefault="007242F0" w:rsidP="00C95BA9">
      <w:pPr>
        <w:spacing w:line="240" w:lineRule="auto"/>
      </w:pPr>
      <w:r>
        <w:t>Peer Reviewers have noted that s</w:t>
      </w:r>
      <w:r w:rsidR="00115EFD" w:rsidRPr="00615BA5">
        <w:t xml:space="preserve">ome form reports have reconciliation in the wrong place.  </w:t>
      </w:r>
      <w:r w:rsidR="00F52B05">
        <w:t xml:space="preserve">  Some Candidates include a “</w:t>
      </w:r>
      <w:r w:rsidR="00115EFD" w:rsidRPr="00615BA5">
        <w:t>reconciliation</w:t>
      </w:r>
      <w:r w:rsidR="00F52B05">
        <w:t>”</w:t>
      </w:r>
      <w:r w:rsidR="00115EFD" w:rsidRPr="00615BA5">
        <w:t xml:space="preserve"> </w:t>
      </w:r>
      <w:r w:rsidR="00E35507">
        <w:t xml:space="preserve">directly </w:t>
      </w:r>
      <w:r w:rsidR="00115EFD" w:rsidRPr="00615BA5">
        <w:t>below the Direct Comparison Approach grid</w:t>
      </w:r>
      <w:r w:rsidR="00F52B05">
        <w:t>, but this area is designed</w:t>
      </w:r>
      <w:r w:rsidR="00115EFD" w:rsidRPr="00615BA5">
        <w:t xml:space="preserve"> </w:t>
      </w:r>
      <w:r w:rsidR="00F52B05">
        <w:t>for commenting on</w:t>
      </w:r>
      <w:r w:rsidR="00115EFD" w:rsidRPr="00615BA5">
        <w:t xml:space="preserve"> each comparable sa</w:t>
      </w:r>
      <w:r w:rsidR="00F52B05">
        <w:t>le and discussing how</w:t>
      </w:r>
      <w:r w:rsidR="00115EFD" w:rsidRPr="00615BA5">
        <w:t xml:space="preserve"> </w:t>
      </w:r>
      <w:r w:rsidR="00F52B05">
        <w:t>sale are</w:t>
      </w:r>
      <w:r w:rsidR="00115EFD" w:rsidRPr="00615BA5">
        <w:t xml:space="preserve"> similar or dissimilar to th</w:t>
      </w:r>
      <w:r w:rsidR="00F52B05">
        <w:t xml:space="preserve">e subject and provide an opinion </w:t>
      </w:r>
      <w:r w:rsidR="00115EFD" w:rsidRPr="00615BA5">
        <w:t xml:space="preserve">for </w:t>
      </w:r>
      <w:r w:rsidR="00245CE4">
        <w:t>Direct Comparison Approach</w:t>
      </w:r>
      <w:r w:rsidR="00115EFD" w:rsidRPr="00615BA5">
        <w:t xml:space="preserve">. </w:t>
      </w:r>
      <w:r w:rsidR="00F52B05">
        <w:t xml:space="preserve">    The same applies to the Cost Approach, the comment space should discuss costs per unit, landscaping, driveway, depreciation, land rates, but it is not a reconciliation.</w:t>
      </w:r>
    </w:p>
    <w:p w14:paraId="70AC1138" w14:textId="52ECB426" w:rsidR="00115EFD" w:rsidRPr="00615BA5" w:rsidRDefault="00115EFD" w:rsidP="00C95BA9">
      <w:pPr>
        <w:spacing w:line="240" w:lineRule="auto"/>
      </w:pPr>
      <w:r w:rsidRPr="00615BA5">
        <w:t xml:space="preserve">The final </w:t>
      </w:r>
      <w:r w:rsidR="00F52B05">
        <w:t>R</w:t>
      </w:r>
      <w:r w:rsidRPr="00615BA5">
        <w:t xml:space="preserve">econciliation (see 6.2.2.22) is for all approaches used within the report and is designed to reconcile all </w:t>
      </w:r>
      <w:r w:rsidR="00E35507">
        <w:t>three</w:t>
      </w:r>
      <w:r w:rsidRPr="00615BA5">
        <w:t xml:space="preserve"> approaches into </w:t>
      </w:r>
      <w:r w:rsidR="00E35507">
        <w:t>a</w:t>
      </w:r>
      <w:r w:rsidR="00E35507" w:rsidRPr="00615BA5">
        <w:t xml:space="preserve"> </w:t>
      </w:r>
      <w:r w:rsidRPr="00615BA5">
        <w:t>final value.</w:t>
      </w:r>
      <w:r w:rsidR="00F52B05">
        <w:t xml:space="preserve">    </w:t>
      </w:r>
    </w:p>
    <w:p w14:paraId="7FB6F51F" w14:textId="58A8F01A" w:rsidR="006D2C0B" w:rsidRDefault="00EF52AF" w:rsidP="00C95BA9">
      <w:pPr>
        <w:spacing w:line="240" w:lineRule="auto"/>
      </w:pPr>
      <w:r w:rsidRPr="00615BA5">
        <w:t xml:space="preserve">See </w:t>
      </w:r>
      <w:r w:rsidR="006D2C0B">
        <w:t xml:space="preserve">UBC </w:t>
      </w:r>
      <w:r w:rsidR="00870412" w:rsidRPr="00615BA5">
        <w:t>BUSI 330</w:t>
      </w:r>
      <w:r w:rsidR="006D2C0B" w:rsidRPr="006D2C0B">
        <w:rPr>
          <w:u w:val="single"/>
        </w:rPr>
        <w:t xml:space="preserve"> </w:t>
      </w:r>
      <w:r w:rsidR="006D2C0B" w:rsidRPr="00090C18">
        <w:rPr>
          <w:u w:val="single"/>
        </w:rPr>
        <w:t>Foundations of Real Estate Appraisal</w:t>
      </w:r>
      <w:r w:rsidR="006D2C0B">
        <w:t xml:space="preserve">: </w:t>
      </w:r>
      <w:r w:rsidR="00870412" w:rsidRPr="00615BA5">
        <w:t xml:space="preserve">Lesson 5 </w:t>
      </w:r>
    </w:p>
    <w:p w14:paraId="4B828F55" w14:textId="64100610" w:rsidR="00EF52AF" w:rsidRPr="00615BA5" w:rsidRDefault="006D2C0B" w:rsidP="00C95BA9">
      <w:pPr>
        <w:spacing w:line="240" w:lineRule="auto"/>
      </w:pPr>
      <w:r>
        <w:t>See</w:t>
      </w:r>
      <w:r w:rsidR="00870412" w:rsidRPr="00615BA5">
        <w:t xml:space="preserve"> </w:t>
      </w:r>
      <w:r w:rsidR="00EF52AF" w:rsidRPr="00615BA5">
        <w:t>UBC CPD 123</w:t>
      </w:r>
      <w:r>
        <w:t xml:space="preserve"> Adjustment Support in the Direct Comparison Approach</w:t>
      </w:r>
      <w:r w:rsidR="003A208B">
        <w:t>:</w:t>
      </w:r>
    </w:p>
    <w:p w14:paraId="6AC19208" w14:textId="14531C04" w:rsidR="00EF52AF" w:rsidRPr="00615BA5" w:rsidRDefault="003E40F0" w:rsidP="00C95BA9">
      <w:pPr>
        <w:pStyle w:val="Default"/>
        <w:spacing w:before="120" w:after="120"/>
        <w:ind w:left="90"/>
        <w:rPr>
          <w:rFonts w:asciiTheme="minorHAnsi" w:hAnsiTheme="minorHAnsi" w:cstheme="minorHAnsi"/>
          <w:lang w:val="en-US"/>
        </w:rPr>
      </w:pPr>
      <w:hyperlink r:id="rId39" w:history="1">
        <w:r w:rsidR="00870412" w:rsidRPr="00615BA5">
          <w:rPr>
            <w:rStyle w:val="Hyperlink"/>
            <w:rFonts w:asciiTheme="minorHAnsi" w:hAnsiTheme="minorHAnsi" w:cstheme="minorHAnsi"/>
            <w:lang w:val="en-US"/>
          </w:rPr>
          <w:t>http://www.sauder.ubc.ca/Programs/Real_Estate_Division/Credit_Programs_and_Professional_Development_Courses/Professional_Development_Courses</w:t>
        </w:r>
      </w:hyperlink>
    </w:p>
    <w:p w14:paraId="3D8B900A" w14:textId="2E219983" w:rsidR="003A208B" w:rsidRPr="00615BA5" w:rsidRDefault="003A208B" w:rsidP="00C95BA9">
      <w:pPr>
        <w:pStyle w:val="Default"/>
        <w:spacing w:before="120" w:after="120"/>
        <w:ind w:left="90"/>
        <w:rPr>
          <w:rFonts w:asciiTheme="minorHAnsi" w:hAnsiTheme="minorHAnsi" w:cstheme="minorHAnsi"/>
          <w:lang w:val="en-US"/>
        </w:rPr>
      </w:pPr>
      <w:r>
        <w:rPr>
          <w:rFonts w:asciiTheme="minorHAnsi" w:hAnsiTheme="minorHAnsi" w:cstheme="minorHAnsi"/>
          <w:lang w:val="en-US"/>
        </w:rPr>
        <w:t>See also:</w:t>
      </w:r>
    </w:p>
    <w:p w14:paraId="33467035" w14:textId="77777777" w:rsidR="00EF52AF" w:rsidRPr="00615BA5" w:rsidRDefault="003E40F0" w:rsidP="00C95BA9">
      <w:pPr>
        <w:pStyle w:val="Default"/>
        <w:spacing w:before="120" w:after="120"/>
        <w:ind w:left="90"/>
        <w:rPr>
          <w:rFonts w:asciiTheme="minorHAnsi" w:hAnsiTheme="minorHAnsi" w:cstheme="minorHAnsi"/>
          <w:lang w:val="en-US"/>
        </w:rPr>
      </w:pPr>
      <w:hyperlink r:id="rId40" w:history="1">
        <w:r w:rsidR="00004456" w:rsidRPr="00615BA5">
          <w:rPr>
            <w:rStyle w:val="Hyperlink"/>
            <w:rFonts w:asciiTheme="minorHAnsi" w:hAnsiTheme="minorHAnsi" w:cstheme="minorHAnsi"/>
            <w:lang w:val="en-US"/>
          </w:rPr>
          <w:t>https://aicexchange.ca/blog/standardizing-the-direct-comparison-approach-part-1/</w:t>
        </w:r>
      </w:hyperlink>
    </w:p>
    <w:p w14:paraId="304B72B4" w14:textId="3FDBCA82" w:rsidR="00EF52AF" w:rsidRPr="00615BA5" w:rsidRDefault="003E40F0" w:rsidP="00C95BA9">
      <w:pPr>
        <w:pStyle w:val="Default"/>
        <w:spacing w:before="120" w:after="120"/>
        <w:ind w:left="90"/>
        <w:rPr>
          <w:rFonts w:asciiTheme="minorHAnsi" w:hAnsiTheme="minorHAnsi" w:cstheme="minorHAnsi"/>
          <w:lang w:val="en-US"/>
        </w:rPr>
      </w:pPr>
      <w:hyperlink r:id="rId41" w:history="1">
        <w:r w:rsidR="00255CE3" w:rsidRPr="00615BA5">
          <w:rPr>
            <w:rStyle w:val="Hyperlink"/>
            <w:rFonts w:asciiTheme="minorHAnsi" w:hAnsiTheme="minorHAnsi" w:cstheme="minorHAnsi"/>
            <w:lang w:val="en-US"/>
          </w:rPr>
          <w:t>https://aicexchange.ca/blog/part-ii-what-you-should-know-about-the-direct-comparison-approach-and-were-afraid-to-ask/</w:t>
        </w:r>
      </w:hyperlink>
    </w:p>
    <w:p w14:paraId="597C27E0" w14:textId="77777777" w:rsidR="00EF52AF" w:rsidRPr="00615BA5" w:rsidRDefault="003E40F0" w:rsidP="00C95BA9">
      <w:pPr>
        <w:pStyle w:val="Default"/>
        <w:spacing w:before="120" w:after="120"/>
        <w:ind w:left="90"/>
        <w:rPr>
          <w:rFonts w:asciiTheme="minorHAnsi" w:hAnsiTheme="minorHAnsi" w:cstheme="minorHAnsi"/>
          <w:lang w:val="en-US"/>
        </w:rPr>
      </w:pPr>
      <w:hyperlink r:id="rId42" w:history="1">
        <w:r w:rsidR="0083064C" w:rsidRPr="00615BA5">
          <w:rPr>
            <w:rStyle w:val="Hyperlink"/>
            <w:rFonts w:asciiTheme="minorHAnsi" w:hAnsiTheme="minorHAnsi" w:cstheme="minorHAnsi"/>
            <w:lang w:val="en-US"/>
          </w:rPr>
          <w:t>https://www.appraisalfoundation.org/imis/docs/Valuation_Advisory_4_Identifying_Comparable_Properties_Upated_Final_09262013.pdf</w:t>
        </w:r>
      </w:hyperlink>
    </w:p>
    <w:p w14:paraId="63364C5B" w14:textId="55C56DE0" w:rsidR="002574A5" w:rsidRPr="00615BA5" w:rsidRDefault="006D2C0B" w:rsidP="00C95BA9">
      <w:pPr>
        <w:spacing w:line="240" w:lineRule="auto"/>
      </w:pPr>
      <w:r>
        <w:t>U</w:t>
      </w:r>
      <w:r w:rsidR="002574A5" w:rsidRPr="00615BA5">
        <w:t>se a checklist to ensure your reports meet CUSPAP:</w:t>
      </w:r>
    </w:p>
    <w:p w14:paraId="173544B4" w14:textId="4A25522E" w:rsidR="002574A5" w:rsidRPr="00615BA5" w:rsidRDefault="003E40F0" w:rsidP="00C95BA9">
      <w:pPr>
        <w:pStyle w:val="Default"/>
        <w:spacing w:before="120" w:after="120"/>
        <w:ind w:left="86"/>
        <w:rPr>
          <w:rFonts w:asciiTheme="minorHAnsi" w:hAnsiTheme="minorHAnsi" w:cstheme="minorHAnsi"/>
          <w:lang w:val="en-US"/>
        </w:rPr>
      </w:pPr>
      <w:hyperlink r:id="rId43" w:history="1">
        <w:r w:rsidR="002574A5" w:rsidRPr="00615BA5">
          <w:rPr>
            <w:rStyle w:val="Hyperlink"/>
            <w:rFonts w:asciiTheme="minorHAnsi" w:hAnsiTheme="minorHAnsi" w:cstheme="minorHAnsi"/>
          </w:rPr>
          <w:t>https://www.aicanada.ca/wp-content/uploads/CUSPAP-2018-Compliance-Checklist.pdf</w:t>
        </w:r>
      </w:hyperlink>
    </w:p>
    <w:p w14:paraId="0812E52A" w14:textId="7F3CC877" w:rsidR="002574A5" w:rsidRDefault="00245CE4" w:rsidP="00C95BA9">
      <w:pPr>
        <w:spacing w:line="240" w:lineRule="auto"/>
        <w:rPr>
          <w:rStyle w:val="Hyperlink"/>
        </w:rPr>
      </w:pPr>
      <w:r w:rsidRPr="00615BA5">
        <w:rPr>
          <w:noProof/>
          <w:lang w:eastAsia="en-US"/>
        </w:rPr>
        <w:lastRenderedPageBreak/>
        <w:drawing>
          <wp:anchor distT="0" distB="0" distL="114300" distR="114300" simplePos="0" relativeHeight="251658240" behindDoc="0" locked="0" layoutInCell="1" allowOverlap="1" wp14:anchorId="01086E69" wp14:editId="7F8BA78D">
            <wp:simplePos x="0" y="0"/>
            <wp:positionH relativeFrom="column">
              <wp:posOffset>180975</wp:posOffset>
            </wp:positionH>
            <wp:positionV relativeFrom="paragraph">
              <wp:posOffset>280670</wp:posOffset>
            </wp:positionV>
            <wp:extent cx="3633470" cy="2762250"/>
            <wp:effectExtent l="0" t="0" r="5080" b="0"/>
            <wp:wrapTopAndBottom/>
            <wp:docPr id="1" name="Picture 1" descr="cid:image001.png@01D48D39.F873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D39.F8731190"/>
                    <pic:cNvPicPr>
                      <a:picLocks noChangeAspect="1" noChangeArrowheads="1"/>
                    </pic:cNvPicPr>
                  </pic:nvPicPr>
                  <pic:blipFill rotWithShape="1">
                    <a:blip r:embed="rId44">
                      <a:extLst>
                        <a:ext uri="{28A0092B-C50C-407E-A947-70E740481C1C}">
                          <a14:useLocalDpi xmlns:a14="http://schemas.microsoft.com/office/drawing/2010/main" val="0"/>
                        </a:ext>
                      </a:extLst>
                    </a:blip>
                    <a:srcRect r="29264"/>
                    <a:stretch/>
                  </pic:blipFill>
                  <pic:spPr bwMode="auto">
                    <a:xfrm>
                      <a:off x="0" y="0"/>
                      <a:ext cx="3633470" cy="2762250"/>
                    </a:xfrm>
                    <a:prstGeom prst="rect">
                      <a:avLst/>
                    </a:prstGeom>
                    <a:noFill/>
                    <a:ln>
                      <a:noFill/>
                    </a:ln>
                    <a:extLst>
                      <a:ext uri="{53640926-AAD7-44D8-BBD7-CCE9431645EC}">
                        <a14:shadowObscured xmlns:a14="http://schemas.microsoft.com/office/drawing/2010/main"/>
                      </a:ext>
                    </a:extLst>
                  </pic:spPr>
                </pic:pic>
              </a:graphicData>
            </a:graphic>
          </wp:anchor>
        </w:drawing>
      </w:r>
      <w:hyperlink r:id="rId45" w:history="1">
        <w:r w:rsidR="002574A5" w:rsidRPr="00615BA5">
          <w:rPr>
            <w:rStyle w:val="Hyperlink"/>
          </w:rPr>
          <w:t>https://www.appraisalinstitute.org/assets/1/7/self-audit_9_8_2017.pdf</w:t>
        </w:r>
      </w:hyperlink>
    </w:p>
    <w:p w14:paraId="69399EFD" w14:textId="77777777" w:rsidR="00D4744E" w:rsidRPr="006A3D41" w:rsidRDefault="00D4744E" w:rsidP="00C95BA9">
      <w:pPr>
        <w:spacing w:line="240" w:lineRule="auto"/>
        <w:rPr>
          <w:b/>
        </w:rPr>
      </w:pPr>
      <w:r w:rsidRPr="006A3D41">
        <w:rPr>
          <w:b/>
        </w:rPr>
        <w:t>COST APPROACH</w:t>
      </w:r>
    </w:p>
    <w:p w14:paraId="62955249" w14:textId="2EAB01AB" w:rsidR="00D4744E" w:rsidRPr="00615BA5" w:rsidRDefault="00D4744E" w:rsidP="00C95BA9">
      <w:pPr>
        <w:spacing w:line="240" w:lineRule="auto"/>
      </w:pPr>
      <w:r w:rsidRPr="00615BA5">
        <w:t>Remember that the Cost Approach is a separate stand-alone approach and should be completed in full.   Ensure that information about the property, such as age-life depreciation, aligns with the rest of the report.  It is helpful to provide additional information about the sources of costs, what depreciation was included</w:t>
      </w:r>
      <w:r w:rsidR="00245CE4">
        <w:t>,</w:t>
      </w:r>
      <w:r w:rsidRPr="00615BA5">
        <w:t xml:space="preserve"> and how it was determined.  </w:t>
      </w:r>
      <w:r w:rsidR="00245CE4">
        <w:t xml:space="preserve">A typical practice is to include </w:t>
      </w:r>
      <w:r w:rsidRPr="00615BA5">
        <w:t>this</w:t>
      </w:r>
      <w:r w:rsidR="00245CE4">
        <w:t xml:space="preserve"> information</w:t>
      </w:r>
      <w:r w:rsidRPr="00615BA5">
        <w:t xml:space="preserve"> in narrative addenda.</w:t>
      </w:r>
    </w:p>
    <w:p w14:paraId="47C818E4" w14:textId="77777777" w:rsidR="00823EC6" w:rsidRPr="00615BA5" w:rsidRDefault="00823EC6" w:rsidP="00C95BA9">
      <w:pPr>
        <w:spacing w:line="240" w:lineRule="auto"/>
      </w:pPr>
      <w:r>
        <w:t>Remember to consider the basement description in the Cost Approach and ensure these details align with DCA.</w:t>
      </w:r>
    </w:p>
    <w:p w14:paraId="15829676" w14:textId="5C4B3379" w:rsidR="00D4744E" w:rsidRDefault="00D4744E" w:rsidP="00C95BA9">
      <w:pPr>
        <w:spacing w:line="240" w:lineRule="auto"/>
      </w:pPr>
      <w:r w:rsidRPr="00615BA5">
        <w:t xml:space="preserve">Remember to </w:t>
      </w:r>
      <w:r w:rsidR="00245CE4">
        <w:t xml:space="preserve">include </w:t>
      </w:r>
      <w:r w:rsidRPr="00615BA5">
        <w:t>the depreciated or contributory value of site improvements such as air conditioning, driveway, security system, covered porch, wood deck, hot tubs, fence or other landscaping.</w:t>
      </w:r>
    </w:p>
    <w:p w14:paraId="39EA6965" w14:textId="2972A830" w:rsidR="00595ECD" w:rsidRDefault="00595ECD" w:rsidP="00C95BA9">
      <w:pPr>
        <w:spacing w:line="240" w:lineRule="auto"/>
      </w:pPr>
      <w:r>
        <w:t>A common mistake can occur in separating some of the improvements into the depreciated amounts.  For example, the main dwelling is costed out in detail, but a garage is placed into the depreciated category.  If the improvements were constructed at the same time and have a similar age-life, the overall depreciation may be able cover both.</w:t>
      </w:r>
    </w:p>
    <w:p w14:paraId="7F50552D" w14:textId="77777777" w:rsidR="00823EC6" w:rsidRPr="00615BA5" w:rsidRDefault="00823EC6" w:rsidP="00C95BA9">
      <w:pPr>
        <w:spacing w:line="240" w:lineRule="auto"/>
      </w:pPr>
    </w:p>
    <w:p w14:paraId="2D3A8A0C" w14:textId="77777777" w:rsidR="002E2580" w:rsidRPr="00615BA5" w:rsidRDefault="002E2580" w:rsidP="00C95BA9">
      <w:pPr>
        <w:pStyle w:val="Heading1"/>
        <w:spacing w:line="240" w:lineRule="auto"/>
      </w:pPr>
      <w:bookmarkStart w:id="18" w:name="_Toc536628940"/>
      <w:r w:rsidRPr="00615BA5">
        <w:t xml:space="preserve">6.2.17. </w:t>
      </w:r>
      <w:r w:rsidR="002574A5" w:rsidRPr="00615BA5">
        <w:t>Leases</w:t>
      </w:r>
      <w:bookmarkEnd w:id="18"/>
    </w:p>
    <w:p w14:paraId="39CEC713" w14:textId="20348FA8" w:rsidR="002E2580" w:rsidRPr="00615BA5" w:rsidRDefault="002E2580" w:rsidP="00C95BA9">
      <w:pPr>
        <w:spacing w:line="240" w:lineRule="auto"/>
      </w:pPr>
      <w:r w:rsidRPr="006A3D41">
        <w:rPr>
          <w:b/>
        </w:rPr>
        <w:t xml:space="preserve">6.2.17: </w:t>
      </w:r>
      <w:r w:rsidR="008324AD" w:rsidRPr="006A3D41">
        <w:rPr>
          <w:b/>
        </w:rPr>
        <w:t>In a report, a Member must</w:t>
      </w:r>
      <w:r w:rsidRPr="006A3D41">
        <w:rPr>
          <w:b/>
        </w:rPr>
        <w:t xml:space="preserve"> analyze the effect on value, if any, of the terms and conditions of the lease(s) when developing an opinion of the value of a leased fee, leasehold estate;</w:t>
      </w:r>
      <w:r w:rsidRPr="00615BA5">
        <w:t xml:space="preserve">  </w:t>
      </w:r>
    </w:p>
    <w:p w14:paraId="4CB80023" w14:textId="257857C7" w:rsidR="002574A5" w:rsidRPr="00615BA5" w:rsidRDefault="002574A5" w:rsidP="00C95BA9">
      <w:pPr>
        <w:spacing w:line="240" w:lineRule="auto"/>
      </w:pPr>
      <w:r w:rsidRPr="00615BA5">
        <w:t>See UBC CPD 109</w:t>
      </w:r>
      <w:r w:rsidR="00C74D31">
        <w:t>: Lease Analysis</w:t>
      </w:r>
      <w:r w:rsidR="000A7610">
        <w:t>:</w:t>
      </w:r>
      <w:r w:rsidRPr="00615BA5">
        <w:t xml:space="preserve"> </w:t>
      </w:r>
    </w:p>
    <w:p w14:paraId="49EA2F8E" w14:textId="77777777" w:rsidR="002E2580" w:rsidRPr="00615BA5" w:rsidRDefault="003E40F0" w:rsidP="00C95BA9">
      <w:pPr>
        <w:pStyle w:val="Default"/>
        <w:spacing w:after="120"/>
        <w:ind w:left="90"/>
        <w:rPr>
          <w:rFonts w:asciiTheme="minorHAnsi" w:eastAsia="Times New Roman" w:hAnsiTheme="minorHAnsi" w:cstheme="minorHAnsi"/>
          <w:color w:val="auto"/>
          <w:sz w:val="22"/>
          <w:szCs w:val="22"/>
          <w:lang w:val="en-US"/>
        </w:rPr>
      </w:pPr>
      <w:hyperlink r:id="rId46" w:history="1">
        <w:r w:rsidR="002574A5" w:rsidRPr="00615BA5">
          <w:rPr>
            <w:rStyle w:val="Hyperlink"/>
            <w:rFonts w:asciiTheme="minorHAnsi" w:eastAsia="Times New Roman" w:hAnsiTheme="minorHAnsi" w:cstheme="minorHAnsi"/>
            <w:sz w:val="22"/>
            <w:szCs w:val="22"/>
            <w:lang w:val="en-US"/>
          </w:rPr>
          <w:t>http://www.sauder.ubc.ca/Programs/Real_Estate_Division/Credit_Programs_and_Professional_Development_Courses/Professional_Development_Courses</w:t>
        </w:r>
      </w:hyperlink>
    </w:p>
    <w:p w14:paraId="0925A6CE" w14:textId="77777777" w:rsidR="002574A5" w:rsidRPr="00615BA5" w:rsidRDefault="002574A5" w:rsidP="00C95BA9">
      <w:pPr>
        <w:pStyle w:val="Heading1"/>
        <w:spacing w:line="240" w:lineRule="auto"/>
      </w:pPr>
      <w:bookmarkStart w:id="19" w:name="_Toc536628941"/>
      <w:r w:rsidRPr="00615BA5">
        <w:lastRenderedPageBreak/>
        <w:t>6.2.18. Assemblage</w:t>
      </w:r>
      <w:bookmarkEnd w:id="19"/>
    </w:p>
    <w:p w14:paraId="047CD4A0" w14:textId="63E4FB40" w:rsidR="002574A5" w:rsidRPr="00615BA5" w:rsidRDefault="002574A5" w:rsidP="00C95BA9">
      <w:pPr>
        <w:spacing w:line="240" w:lineRule="auto"/>
      </w:pPr>
      <w:r w:rsidRPr="006A3D41">
        <w:rPr>
          <w:b/>
        </w:rPr>
        <w:t>6.2.18:</w:t>
      </w:r>
      <w:r w:rsidR="008324AD" w:rsidRPr="006A3D41">
        <w:rPr>
          <w:b/>
        </w:rPr>
        <w:t xml:space="preserve"> In a report, a Member must</w:t>
      </w:r>
      <w:r w:rsidRPr="006A3D41">
        <w:rPr>
          <w:b/>
        </w:rPr>
        <w:t xml:space="preserve"> </w:t>
      </w:r>
      <w:r w:rsidRPr="006A3D41">
        <w:rPr>
          <w:b/>
          <w:lang w:val="en-CA"/>
        </w:rPr>
        <w:t>analyze the effect on value of an assemblage;</w:t>
      </w:r>
      <w:r w:rsidRPr="00615BA5">
        <w:rPr>
          <w:lang w:val="en-CA"/>
        </w:rPr>
        <w:t xml:space="preserve">  </w:t>
      </w:r>
    </w:p>
    <w:p w14:paraId="43F5C2E9" w14:textId="7BB1C573" w:rsidR="00AB1821" w:rsidRPr="00615BA5" w:rsidRDefault="009510C1" w:rsidP="00C95BA9">
      <w:pPr>
        <w:spacing w:line="240" w:lineRule="auto"/>
      </w:pPr>
      <w:r w:rsidRPr="00615BA5">
        <w:t xml:space="preserve">While assemblage is not as common for stable neighborhoods </w:t>
      </w:r>
      <w:r w:rsidR="00140FAE">
        <w:t>or for</w:t>
      </w:r>
      <w:r w:rsidR="00140FAE" w:rsidRPr="00615BA5">
        <w:t xml:space="preserve"> </w:t>
      </w:r>
      <w:r w:rsidRPr="00615BA5">
        <w:t xml:space="preserve">many residential assignments, it must be considered when relevant.  </w:t>
      </w:r>
      <w:r w:rsidR="00140FAE">
        <w:t>A</w:t>
      </w:r>
      <w:r w:rsidR="00143393" w:rsidRPr="00615BA5">
        <w:t xml:space="preserve"> brief discussion or statement</w:t>
      </w:r>
      <w:r w:rsidR="00140FAE" w:rsidRPr="00140FAE">
        <w:t xml:space="preserve"> </w:t>
      </w:r>
      <w:r w:rsidR="00140FAE" w:rsidRPr="00615BA5">
        <w:t>whether assemblage was considered in the report</w:t>
      </w:r>
      <w:r w:rsidR="00140FAE">
        <w:t xml:space="preserve"> can be provided</w:t>
      </w:r>
      <w:r w:rsidR="00143393" w:rsidRPr="00615BA5">
        <w:t xml:space="preserve"> in the addendum. </w:t>
      </w:r>
      <w:r w:rsidRPr="00615BA5">
        <w:t xml:space="preserve">Many appraisers include a standard comment in a narrative or addendum similar to: </w:t>
      </w:r>
    </w:p>
    <w:p w14:paraId="464334BE" w14:textId="6DF0B560" w:rsidR="009510C1" w:rsidRPr="00615BA5" w:rsidRDefault="009510C1" w:rsidP="00C95BA9">
      <w:pPr>
        <w:spacing w:line="240" w:lineRule="auto"/>
      </w:pPr>
      <w:r w:rsidRPr="00615BA5">
        <w:t xml:space="preserve">“Unless otherwise noted, assemblage is not applicable to </w:t>
      </w:r>
      <w:r w:rsidR="00AB1821" w:rsidRPr="00615BA5">
        <w:t>this assignment</w:t>
      </w:r>
      <w:r w:rsidRPr="00615BA5">
        <w:t>.  Assemblage is the merging of adjacent propertie</w:t>
      </w:r>
      <w:r w:rsidR="006B7FE2" w:rsidRPr="00615BA5">
        <w:t xml:space="preserve">s into one common ownership or </w:t>
      </w:r>
      <w:r w:rsidRPr="00615BA5">
        <w:t xml:space="preserve">use.  Assemblage can result in a </w:t>
      </w:r>
      <w:r w:rsidR="006B7FE2" w:rsidRPr="00615BA5">
        <w:t>value of the whole property that may be less than, equal to, or more than the sum of the components of the various estates or parcels</w:t>
      </w:r>
      <w:r w:rsidRPr="00615BA5">
        <w:t>.”</w:t>
      </w:r>
    </w:p>
    <w:p w14:paraId="30846273" w14:textId="4A8EEF33" w:rsidR="00143393" w:rsidRPr="00615BA5" w:rsidRDefault="009510C1" w:rsidP="00C95BA9">
      <w:pPr>
        <w:spacing w:line="240" w:lineRule="auto"/>
      </w:pPr>
      <w:r w:rsidRPr="00615BA5">
        <w:t xml:space="preserve">It is important to provide some commentary particularly when there </w:t>
      </w:r>
      <w:r w:rsidR="00140FAE">
        <w:t>are</w:t>
      </w:r>
      <w:r w:rsidR="00140FAE" w:rsidRPr="00615BA5">
        <w:t xml:space="preserve"> </w:t>
      </w:r>
      <w:r w:rsidRPr="00615BA5">
        <w:t xml:space="preserve">multiple lots, deconstruction for larger construction, rezoning trends, common ownership of adjacent parcels, or other market factors where the </w:t>
      </w:r>
      <w:r w:rsidR="006A3D41">
        <w:t>individual lot</w:t>
      </w:r>
      <w:r w:rsidRPr="00615BA5">
        <w:t xml:space="preserve"> value may differ compared to combined</w:t>
      </w:r>
      <w:r w:rsidR="00C03A52" w:rsidRPr="00615BA5">
        <w:t xml:space="preserve"> lands</w:t>
      </w:r>
      <w:r w:rsidRPr="00615BA5">
        <w:t>.</w:t>
      </w:r>
      <w:r w:rsidR="00143393" w:rsidRPr="00615BA5">
        <w:t xml:space="preserve"> </w:t>
      </w:r>
    </w:p>
    <w:p w14:paraId="5B30D7F6" w14:textId="087C4FDB" w:rsidR="00143393" w:rsidRPr="00615BA5" w:rsidRDefault="00140FAE" w:rsidP="00C95BA9">
      <w:pPr>
        <w:spacing w:line="240" w:lineRule="auto"/>
      </w:pPr>
      <w:r>
        <w:t>A</w:t>
      </w:r>
      <w:r w:rsidR="00143393" w:rsidRPr="00615BA5">
        <w:t xml:space="preserve"> plot map </w:t>
      </w:r>
      <w:r>
        <w:t>in the report can</w:t>
      </w:r>
      <w:r w:rsidRPr="00615BA5">
        <w:t xml:space="preserve"> </w:t>
      </w:r>
      <w:r w:rsidR="00143393" w:rsidRPr="00615BA5">
        <w:t>provide the reader with a visual whether assemblage may exist.</w:t>
      </w:r>
    </w:p>
    <w:p w14:paraId="710B4E46" w14:textId="7A4E806C" w:rsidR="00143393" w:rsidRPr="00615BA5" w:rsidRDefault="00C74D31" w:rsidP="00C95BA9">
      <w:pPr>
        <w:spacing w:line="240" w:lineRule="auto"/>
      </w:pPr>
      <w:r>
        <w:t xml:space="preserve">See </w:t>
      </w:r>
      <w:r w:rsidRPr="00615BA5">
        <w:t>UBC BUSI 452</w:t>
      </w:r>
      <w:r>
        <w:t xml:space="preserve">: </w:t>
      </w:r>
      <w:r w:rsidRPr="006A3D41">
        <w:rPr>
          <w:u w:val="single"/>
        </w:rPr>
        <w:t>Case Studies in Appraisal II</w:t>
      </w:r>
      <w:r>
        <w:t xml:space="preserve">: </w:t>
      </w:r>
      <w:r w:rsidR="00143393" w:rsidRPr="00615BA5">
        <w:t xml:space="preserve">page 10.11 for Assemblage, </w:t>
      </w:r>
      <w:proofErr w:type="spellStart"/>
      <w:r w:rsidR="00143393" w:rsidRPr="00615BA5">
        <w:t>Plottage</w:t>
      </w:r>
      <w:proofErr w:type="spellEnd"/>
      <w:r w:rsidR="00143393" w:rsidRPr="00615BA5">
        <w:t xml:space="preserve"> and </w:t>
      </w:r>
      <w:proofErr w:type="spellStart"/>
      <w:r w:rsidR="00143393" w:rsidRPr="00615BA5">
        <w:t>Plattage</w:t>
      </w:r>
      <w:proofErr w:type="spellEnd"/>
    </w:p>
    <w:p w14:paraId="38FFDEA3" w14:textId="77777777" w:rsidR="00143393" w:rsidRPr="00615BA5" w:rsidRDefault="003E40F0" w:rsidP="00C95BA9">
      <w:pPr>
        <w:pStyle w:val="Default"/>
        <w:ind w:left="90"/>
        <w:rPr>
          <w:rFonts w:asciiTheme="minorHAnsi" w:eastAsia="Times New Roman" w:hAnsiTheme="minorHAnsi" w:cstheme="minorHAnsi"/>
          <w:color w:val="auto"/>
          <w:sz w:val="22"/>
          <w:szCs w:val="22"/>
          <w:lang w:val="en-US"/>
        </w:rPr>
      </w:pPr>
      <w:hyperlink r:id="rId47" w:history="1">
        <w:r w:rsidR="00143393" w:rsidRPr="00615BA5">
          <w:rPr>
            <w:rStyle w:val="Hyperlink"/>
            <w:rFonts w:asciiTheme="minorHAnsi" w:eastAsia="Times New Roman" w:hAnsiTheme="minorHAnsi" w:cstheme="minorHAnsi"/>
            <w:sz w:val="22"/>
            <w:szCs w:val="22"/>
            <w:lang w:val="en-US"/>
          </w:rPr>
          <w:t>https://professional.sauder.ubc.ca/re_creditprogram/course_resources/courses/content/452/452_R1ARE10_chap10.pdf</w:t>
        </w:r>
      </w:hyperlink>
    </w:p>
    <w:p w14:paraId="4B0CEB2E" w14:textId="5E177463" w:rsidR="00143393" w:rsidRPr="00615BA5" w:rsidRDefault="000A7610" w:rsidP="00C95BA9">
      <w:pPr>
        <w:spacing w:line="240" w:lineRule="auto"/>
      </w:pPr>
      <w:r>
        <w:t xml:space="preserve">See UBC </w:t>
      </w:r>
      <w:r w:rsidRPr="00615BA5">
        <w:t>BUSI 330</w:t>
      </w:r>
      <w:r>
        <w:t xml:space="preserve">: </w:t>
      </w:r>
      <w:r w:rsidRPr="00090C18">
        <w:rPr>
          <w:u w:val="single"/>
        </w:rPr>
        <w:t>Foundations of Real Estate Appraisal</w:t>
      </w:r>
      <w:r>
        <w:t xml:space="preserve">: </w:t>
      </w:r>
      <w:r w:rsidR="00143393" w:rsidRPr="00615BA5">
        <w:t>page 3.17</w:t>
      </w:r>
    </w:p>
    <w:p w14:paraId="49A726FE" w14:textId="77777777" w:rsidR="00143393" w:rsidRPr="00615BA5" w:rsidRDefault="003E40F0" w:rsidP="00C95BA9">
      <w:pPr>
        <w:pStyle w:val="Default"/>
        <w:ind w:left="90"/>
        <w:rPr>
          <w:rFonts w:asciiTheme="minorHAnsi" w:eastAsia="Times New Roman" w:hAnsiTheme="minorHAnsi" w:cstheme="minorHAnsi"/>
          <w:color w:val="auto"/>
          <w:sz w:val="22"/>
          <w:szCs w:val="22"/>
          <w:lang w:val="en-US"/>
        </w:rPr>
      </w:pPr>
      <w:hyperlink r:id="rId48" w:history="1">
        <w:r w:rsidR="00143393" w:rsidRPr="00615BA5">
          <w:rPr>
            <w:rStyle w:val="Hyperlink"/>
            <w:rFonts w:asciiTheme="minorHAnsi" w:eastAsia="Times New Roman" w:hAnsiTheme="minorHAnsi" w:cstheme="minorHAnsi"/>
            <w:sz w:val="22"/>
            <w:szCs w:val="22"/>
            <w:lang w:val="en-US"/>
          </w:rPr>
          <w:t>https://professional.sauder.ubc.ca/re_creditprogram/course_resources/courses/content/330/materials/R2B33013/R2B33013_lesson03.pdf</w:t>
        </w:r>
      </w:hyperlink>
    </w:p>
    <w:p w14:paraId="2C8FAB9A" w14:textId="44D8E7CF" w:rsidR="00143393" w:rsidRPr="00615BA5" w:rsidRDefault="000A7610" w:rsidP="00C95BA9">
      <w:pPr>
        <w:spacing w:line="240" w:lineRule="auto"/>
      </w:pPr>
      <w:r>
        <w:t xml:space="preserve">See UBC </w:t>
      </w:r>
      <w:r w:rsidRPr="00615BA5">
        <w:t>BUSI 330</w:t>
      </w:r>
      <w:r>
        <w:t xml:space="preserve">: </w:t>
      </w:r>
      <w:r w:rsidRPr="00090C18">
        <w:rPr>
          <w:u w:val="single"/>
        </w:rPr>
        <w:t>Foundations of Real Estate Appraisal</w:t>
      </w:r>
      <w:r>
        <w:t xml:space="preserve">: </w:t>
      </w:r>
      <w:r w:rsidR="00143393" w:rsidRPr="00615BA5">
        <w:t>page 7.5</w:t>
      </w:r>
    </w:p>
    <w:p w14:paraId="1EB6F7CF" w14:textId="77777777" w:rsidR="009510C1" w:rsidRPr="00615BA5" w:rsidRDefault="003E40F0" w:rsidP="00C95BA9">
      <w:pPr>
        <w:pStyle w:val="Default"/>
        <w:ind w:left="90"/>
        <w:rPr>
          <w:rFonts w:asciiTheme="minorHAnsi" w:eastAsia="Times New Roman" w:hAnsiTheme="minorHAnsi" w:cstheme="minorHAnsi"/>
          <w:color w:val="auto"/>
          <w:sz w:val="22"/>
          <w:szCs w:val="22"/>
          <w:lang w:val="en-US"/>
        </w:rPr>
      </w:pPr>
      <w:hyperlink r:id="rId49" w:history="1">
        <w:r w:rsidR="00143393" w:rsidRPr="00615BA5">
          <w:rPr>
            <w:rStyle w:val="Hyperlink"/>
            <w:rFonts w:asciiTheme="minorHAnsi" w:eastAsia="Times New Roman" w:hAnsiTheme="minorHAnsi" w:cstheme="minorHAnsi"/>
            <w:sz w:val="22"/>
            <w:szCs w:val="22"/>
            <w:lang w:val="en-US"/>
          </w:rPr>
          <w:t>https://professional.sauder.ubc.ca/re_creditprogram/course_resources/courses/content/330/materials/R2B33013/R2B33013_lesson07.pdf</w:t>
        </w:r>
      </w:hyperlink>
    </w:p>
    <w:p w14:paraId="71F12A4D" w14:textId="77777777" w:rsidR="00AB1821" w:rsidRPr="00615BA5" w:rsidRDefault="00AB1821" w:rsidP="00C95BA9">
      <w:pPr>
        <w:pStyle w:val="Heading1"/>
        <w:spacing w:line="240" w:lineRule="auto"/>
      </w:pPr>
      <w:bookmarkStart w:id="20" w:name="_Toc536628942"/>
      <w:r w:rsidRPr="00615BA5">
        <w:t>6.2.19. Public/Private Improvements</w:t>
      </w:r>
      <w:bookmarkEnd w:id="20"/>
    </w:p>
    <w:p w14:paraId="4BF0CAD3" w14:textId="0894606D" w:rsidR="00AB1821" w:rsidRPr="00615BA5" w:rsidRDefault="00AB1821" w:rsidP="00C95BA9">
      <w:pPr>
        <w:spacing w:line="240" w:lineRule="auto"/>
      </w:pPr>
      <w:r w:rsidRPr="006A3D41">
        <w:rPr>
          <w:b/>
        </w:rPr>
        <w:t>6.2.19:</w:t>
      </w:r>
      <w:r w:rsidR="008324AD" w:rsidRPr="006A3D41">
        <w:rPr>
          <w:b/>
        </w:rPr>
        <w:t xml:space="preserve"> In a report, a Member must</w:t>
      </w:r>
      <w:r w:rsidRPr="006A3D41">
        <w:rPr>
          <w:b/>
        </w:rPr>
        <w:t xml:space="preserve"> analyze the effect on value of anticipated public or private improvements;</w:t>
      </w:r>
      <w:r w:rsidRPr="00615BA5">
        <w:t xml:space="preserve"> </w:t>
      </w:r>
    </w:p>
    <w:p w14:paraId="1B0C1937" w14:textId="77777777" w:rsidR="00222A04" w:rsidRDefault="009979AA" w:rsidP="00C95BA9">
      <w:pPr>
        <w:spacing w:line="240" w:lineRule="auto"/>
      </w:pPr>
      <w:r w:rsidRPr="00615BA5">
        <w:t xml:space="preserve">When a property is located in a new subdivision/new area or </w:t>
      </w:r>
      <w:r w:rsidR="006E0469">
        <w:t xml:space="preserve">in </w:t>
      </w:r>
      <w:r w:rsidRPr="00615BA5">
        <w:t>a neighborhood where the</w:t>
      </w:r>
      <w:r w:rsidR="007A5DE8">
        <w:t xml:space="preserve"> larger</w:t>
      </w:r>
      <w:r w:rsidRPr="00615BA5">
        <w:t xml:space="preserve"> landscape is </w:t>
      </w:r>
      <w:r w:rsidR="007A5DE8">
        <w:t xml:space="preserve">still </w:t>
      </w:r>
      <w:r w:rsidRPr="00615BA5">
        <w:t>changing,</w:t>
      </w:r>
      <w:r w:rsidR="007A5DE8">
        <w:t xml:space="preserve"> </w:t>
      </w:r>
      <w:r w:rsidRPr="00615BA5">
        <w:t>includ</w:t>
      </w:r>
      <w:r w:rsidR="006E0469">
        <w:t>e</w:t>
      </w:r>
      <w:r w:rsidRPr="00615BA5">
        <w:t xml:space="preserve"> and review location/aerial maps and future/draft plans to ensure there </w:t>
      </w:r>
      <w:r w:rsidR="006E0469">
        <w:t>are</w:t>
      </w:r>
      <w:r w:rsidR="006E0469" w:rsidRPr="00615BA5">
        <w:t xml:space="preserve"> </w:t>
      </w:r>
      <w:r w:rsidRPr="00615BA5">
        <w:t xml:space="preserve">no improvements that may </w:t>
      </w:r>
      <w:r w:rsidR="006E0469">
        <w:t xml:space="preserve">be about to </w:t>
      </w:r>
      <w:r w:rsidRPr="00615BA5">
        <w:t xml:space="preserve">occur in the near future.  </w:t>
      </w:r>
    </w:p>
    <w:p w14:paraId="6FA1EE6B" w14:textId="3A3001BD" w:rsidR="009979AA" w:rsidRDefault="009979AA" w:rsidP="00C95BA9">
      <w:pPr>
        <w:spacing w:line="240" w:lineRule="auto"/>
      </w:pPr>
      <w:r w:rsidRPr="00615BA5">
        <w:t>Municipal governments and other levels of government typically provide information to the public about future potential</w:t>
      </w:r>
      <w:r w:rsidR="006E0469">
        <w:t xml:space="preserve"> changes/improvements </w:t>
      </w:r>
      <w:r w:rsidRPr="00615BA5">
        <w:t>such road expansions, new infrastructure, airport changes, towers,</w:t>
      </w:r>
      <w:r w:rsidR="006E0469">
        <w:t xml:space="preserve"> or</w:t>
      </w:r>
      <w:r w:rsidRPr="00615BA5">
        <w:t xml:space="preserve"> pipelines.  It is important that the appraiser use local knowledge and competency to discover </w:t>
      </w:r>
      <w:r w:rsidR="006E0469">
        <w:t>anticipated</w:t>
      </w:r>
      <w:r w:rsidR="006E0469" w:rsidRPr="00615BA5">
        <w:t xml:space="preserve"> </w:t>
      </w:r>
      <w:r w:rsidRPr="00615BA5">
        <w:t>improvements</w:t>
      </w:r>
      <w:r w:rsidR="006E0469">
        <w:t xml:space="preserve">/changes in an </w:t>
      </w:r>
      <w:r w:rsidR="00C74D31">
        <w:t xml:space="preserve">area </w:t>
      </w:r>
      <w:r w:rsidR="00C74D31" w:rsidRPr="00615BA5">
        <w:t>–</w:t>
      </w:r>
      <w:r w:rsidRPr="00615BA5">
        <w:t xml:space="preserve"> which may increase or decrease value.</w:t>
      </w:r>
    </w:p>
    <w:p w14:paraId="5EBF7052" w14:textId="7144F09F" w:rsidR="00222A04" w:rsidRPr="00615BA5" w:rsidRDefault="00222A04" w:rsidP="00C95BA9">
      <w:pPr>
        <w:spacing w:line="240" w:lineRule="auto"/>
      </w:pPr>
      <w:r>
        <w:t>If the area is not changing and there are no anticipated improvements, this can be stated in a brief comment.</w:t>
      </w:r>
    </w:p>
    <w:p w14:paraId="096426B9" w14:textId="77777777" w:rsidR="009979AA" w:rsidRPr="00615BA5" w:rsidRDefault="009979AA" w:rsidP="00C95BA9">
      <w:pPr>
        <w:pStyle w:val="Heading1"/>
        <w:spacing w:line="240" w:lineRule="auto"/>
      </w:pPr>
      <w:bookmarkStart w:id="21" w:name="_Toc536628943"/>
      <w:r w:rsidRPr="00615BA5">
        <w:t>6.2.20. Personal Property</w:t>
      </w:r>
      <w:bookmarkEnd w:id="21"/>
    </w:p>
    <w:p w14:paraId="622E45FF" w14:textId="214D2997" w:rsidR="009979AA" w:rsidRPr="00615BA5" w:rsidRDefault="009979AA" w:rsidP="00C95BA9">
      <w:pPr>
        <w:spacing w:line="240" w:lineRule="auto"/>
      </w:pPr>
      <w:r w:rsidRPr="006A3D41">
        <w:rPr>
          <w:b/>
        </w:rPr>
        <w:t xml:space="preserve">6.2.20: </w:t>
      </w:r>
      <w:r w:rsidR="008324AD" w:rsidRPr="006A3D41">
        <w:rPr>
          <w:b/>
        </w:rPr>
        <w:t>In a report, a Member must</w:t>
      </w:r>
      <w:r w:rsidRPr="006A3D41">
        <w:rPr>
          <w:b/>
        </w:rPr>
        <w:t xml:space="preserve"> analyze the effect on value of any personal property;</w:t>
      </w:r>
    </w:p>
    <w:p w14:paraId="244029B8" w14:textId="7AD86F9D" w:rsidR="001B79E2" w:rsidRPr="00615BA5" w:rsidRDefault="006E0469" w:rsidP="00C95BA9">
      <w:pPr>
        <w:spacing w:line="240" w:lineRule="auto"/>
      </w:pPr>
      <w:r>
        <w:lastRenderedPageBreak/>
        <w:t xml:space="preserve">A report should disclose whether there is </w:t>
      </w:r>
      <w:r w:rsidR="001B79E2" w:rsidRPr="00615BA5">
        <w:t xml:space="preserve">Personal </w:t>
      </w:r>
      <w:r>
        <w:t>P</w:t>
      </w:r>
      <w:r w:rsidR="001B79E2" w:rsidRPr="00615BA5">
        <w:t xml:space="preserve">roperty </w:t>
      </w:r>
      <w:r>
        <w:t>on or in the subject property that will have an effect on the value of a property.  It should be made clear in the report what Personal Property (</w:t>
      </w:r>
      <w:r w:rsidRPr="00615BA5">
        <w:t>chattels/furniture/appliances</w:t>
      </w:r>
      <w:r>
        <w:t>/machinery and equipment, etc.) is included in the value of the subject property</w:t>
      </w:r>
      <w:r w:rsidR="001B79E2" w:rsidRPr="00615BA5">
        <w:t>.</w:t>
      </w:r>
    </w:p>
    <w:p w14:paraId="632D67A2" w14:textId="11308CDA" w:rsidR="002574A5" w:rsidRPr="00615BA5" w:rsidRDefault="006E0469" w:rsidP="00C95BA9">
      <w:pPr>
        <w:spacing w:line="240" w:lineRule="auto"/>
        <w:rPr>
          <w:sz w:val="23"/>
          <w:szCs w:val="23"/>
        </w:rPr>
      </w:pPr>
      <w:r>
        <w:t xml:space="preserve">An appraiser must have competence in the valuation of Personal Property in order </w:t>
      </w:r>
      <w:r w:rsidR="001B79E2" w:rsidRPr="00615BA5">
        <w:t xml:space="preserve">to </w:t>
      </w:r>
      <w:r>
        <w:t>allocate its</w:t>
      </w:r>
      <w:r w:rsidR="001B79E2" w:rsidRPr="00615BA5">
        <w:t xml:space="preserve"> value</w:t>
      </w:r>
      <w:r>
        <w:t>.</w:t>
      </w:r>
    </w:p>
    <w:p w14:paraId="3B8443E4" w14:textId="77777777" w:rsidR="001B79E2" w:rsidRPr="00615BA5" w:rsidRDefault="001B79E2" w:rsidP="00C95BA9">
      <w:pPr>
        <w:pStyle w:val="Heading1"/>
        <w:spacing w:line="240" w:lineRule="auto"/>
      </w:pPr>
      <w:bookmarkStart w:id="22" w:name="_Toc536628944"/>
      <w:r w:rsidRPr="00615BA5">
        <w:t xml:space="preserve">6.2.21. </w:t>
      </w:r>
      <w:r w:rsidR="00BE6B84" w:rsidRPr="00615BA5">
        <w:t xml:space="preserve">Listing and Sale </w:t>
      </w:r>
      <w:r w:rsidRPr="00615BA5">
        <w:t>History</w:t>
      </w:r>
      <w:bookmarkEnd w:id="22"/>
    </w:p>
    <w:p w14:paraId="5C2D4AA8" w14:textId="0E984012" w:rsidR="001B79E2" w:rsidRPr="002C09FF" w:rsidRDefault="001B79E2" w:rsidP="00C95BA9">
      <w:pPr>
        <w:spacing w:line="240" w:lineRule="auto"/>
      </w:pPr>
      <w:r w:rsidRPr="006A3D41">
        <w:rPr>
          <w:b/>
        </w:rPr>
        <w:t xml:space="preserve">6.2.21: </w:t>
      </w:r>
      <w:r w:rsidR="008324AD" w:rsidRPr="006A3D41">
        <w:rPr>
          <w:b/>
        </w:rPr>
        <w:t>In a report, a Member must</w:t>
      </w:r>
      <w:r w:rsidRPr="006A3D41">
        <w:rPr>
          <w:b/>
        </w:rPr>
        <w:t xml:space="preserve"> analyze and comment on all Agreement for Sale, Option, or Listing of the property, subject to 7.22, and all prior sales of the property,</w:t>
      </w:r>
      <w:r w:rsidRPr="002C09FF">
        <w:t xml:space="preserve"> </w:t>
      </w:r>
    </w:p>
    <w:p w14:paraId="2543DFF5" w14:textId="025E1C37" w:rsidR="005462C4" w:rsidRPr="00D3733A" w:rsidRDefault="00D3733A" w:rsidP="00C95BA9">
      <w:pPr>
        <w:spacing w:line="240" w:lineRule="auto"/>
      </w:pPr>
      <w:r>
        <w:t>A</w:t>
      </w:r>
      <w:r w:rsidR="005462C4" w:rsidRPr="00245CE4">
        <w:t xml:space="preserve"> </w:t>
      </w:r>
      <w:r>
        <w:t>title</w:t>
      </w:r>
      <w:r w:rsidRPr="00245CE4">
        <w:t xml:space="preserve"> </w:t>
      </w:r>
      <w:r w:rsidR="005462C4" w:rsidRPr="00245CE4">
        <w:t>transfer history</w:t>
      </w:r>
      <w:r>
        <w:t xml:space="preserve"> search</w:t>
      </w:r>
      <w:r w:rsidR="005462C4" w:rsidRPr="00245CE4">
        <w:t xml:space="preserve"> </w:t>
      </w:r>
      <w:r>
        <w:t xml:space="preserve">is often confused with </w:t>
      </w:r>
      <w:r w:rsidR="005462C4" w:rsidRPr="00245CE4">
        <w:t>an MLS search.  Typically</w:t>
      </w:r>
      <w:r>
        <w:t>,</w:t>
      </w:r>
      <w:r w:rsidR="005462C4" w:rsidRPr="00245CE4">
        <w:t xml:space="preserve"> </w:t>
      </w:r>
      <w:r>
        <w:t>a</w:t>
      </w:r>
      <w:r w:rsidRPr="00245CE4">
        <w:t xml:space="preserve"> </w:t>
      </w:r>
      <w:r w:rsidR="005462C4" w:rsidRPr="00245CE4">
        <w:t xml:space="preserve">title transfer history is obtained by searching the "land titles office", or "registry office' depending on the way </w:t>
      </w:r>
      <w:r>
        <w:t>a</w:t>
      </w:r>
      <w:r w:rsidRPr="00245CE4">
        <w:t xml:space="preserve"> </w:t>
      </w:r>
      <w:r w:rsidR="005462C4" w:rsidRPr="00245CE4">
        <w:t xml:space="preserve">province registers transactions.  </w:t>
      </w:r>
      <w:r w:rsidRPr="00D3733A">
        <w:t>Not every sale is completed using the MLS system.</w:t>
      </w:r>
      <w:r>
        <w:t xml:space="preserve">  </w:t>
      </w:r>
      <w:r w:rsidR="005462C4" w:rsidRPr="00245CE4">
        <w:t xml:space="preserve">A registry search will </w:t>
      </w:r>
      <w:r w:rsidR="005462C4" w:rsidRPr="00D3733A">
        <w:t xml:space="preserve">show a title transaction that might not be a MLS sale.  </w:t>
      </w:r>
      <w:r>
        <w:t>An example of a land registry transaction that would not be considered a “sales transaction”:</w:t>
      </w:r>
      <w:r w:rsidR="005462C4" w:rsidRPr="00D3733A">
        <w:t xml:space="preserve"> a transaction of ZERO DOLLARS or TWO DOLLARS when one party is removed or added to title.</w:t>
      </w:r>
    </w:p>
    <w:p w14:paraId="137EF98B" w14:textId="00E60731" w:rsidR="005462C4" w:rsidRPr="00D3733A" w:rsidRDefault="00D3733A" w:rsidP="00C95BA9">
      <w:pPr>
        <w:spacing w:line="240" w:lineRule="auto"/>
      </w:pPr>
      <w:r>
        <w:t>A report</w:t>
      </w:r>
      <w:r w:rsidR="00BE6B84" w:rsidRPr="00D3733A">
        <w:t xml:space="preserve"> should not </w:t>
      </w:r>
      <w:r>
        <w:t>simply</w:t>
      </w:r>
      <w:r w:rsidRPr="00D3733A">
        <w:t xml:space="preserve"> </w:t>
      </w:r>
      <w:r w:rsidR="00BE6B84" w:rsidRPr="00D3733A">
        <w:t xml:space="preserve">report a listing or </w:t>
      </w:r>
      <w:r w:rsidRPr="00D3733A">
        <w:t>sale price</w:t>
      </w:r>
      <w:r w:rsidR="00BE6B84" w:rsidRPr="00D3733A">
        <w:t xml:space="preserve"> – it should be </w:t>
      </w:r>
      <w:proofErr w:type="spellStart"/>
      <w:r w:rsidR="00BE6B84" w:rsidRPr="00D3733A">
        <w:t>analysed</w:t>
      </w:r>
      <w:proofErr w:type="spellEnd"/>
      <w:r w:rsidR="00BE6B84" w:rsidRPr="00D3733A">
        <w:t xml:space="preserve"> in detail and an explanation provided</w:t>
      </w:r>
      <w:r w:rsidR="005462C4" w:rsidRPr="00D3733A">
        <w:t xml:space="preserve"> why </w:t>
      </w:r>
      <w:r w:rsidR="00BE6B84" w:rsidRPr="00D3733A">
        <w:t xml:space="preserve">a listing or </w:t>
      </w:r>
      <w:r w:rsidRPr="00D3733A">
        <w:t>sale price</w:t>
      </w:r>
      <w:r w:rsidR="005462C4" w:rsidRPr="00D3733A">
        <w:t xml:space="preserve"> differs significantly from </w:t>
      </w:r>
      <w:r>
        <w:t>the final value</w:t>
      </w:r>
      <w:r w:rsidR="005462C4" w:rsidRPr="00D3733A">
        <w:t>.</w:t>
      </w:r>
      <w:r w:rsidR="00BE6B84" w:rsidRPr="00D3733A">
        <w:t xml:space="preserve">  If the listing or </w:t>
      </w:r>
      <w:r w:rsidRPr="00D3733A">
        <w:t>sale price</w:t>
      </w:r>
      <w:r w:rsidR="00BE6B84" w:rsidRPr="00D3733A">
        <w:t xml:space="preserve"> is not a relevant indicator of value, this should </w:t>
      </w:r>
      <w:r>
        <w:t xml:space="preserve">also </w:t>
      </w:r>
      <w:r w:rsidR="00BE6B84" w:rsidRPr="00D3733A">
        <w:t>be discussed</w:t>
      </w:r>
      <w:r>
        <w:t xml:space="preserve"> in the report</w:t>
      </w:r>
      <w:r w:rsidR="00BE6B84" w:rsidRPr="00D3733A">
        <w:t>.</w:t>
      </w:r>
    </w:p>
    <w:p w14:paraId="472C88E2" w14:textId="40A5B69A" w:rsidR="005462C4" w:rsidRPr="003C365B" w:rsidRDefault="003C365B" w:rsidP="00C95BA9">
      <w:pPr>
        <w:spacing w:line="240" w:lineRule="auto"/>
      </w:pPr>
      <w:r>
        <w:t>Inclusion of a s</w:t>
      </w:r>
      <w:r w:rsidR="005462C4" w:rsidRPr="00D3733A">
        <w:t xml:space="preserve">ales </w:t>
      </w:r>
      <w:r w:rsidR="002C43EF">
        <w:t xml:space="preserve">transactions </w:t>
      </w:r>
      <w:r w:rsidR="005462C4" w:rsidRPr="00D3733A">
        <w:t xml:space="preserve">history </w:t>
      </w:r>
      <w:r w:rsidR="002C43EF">
        <w:t>increases</w:t>
      </w:r>
      <w:r w:rsidR="005462C4" w:rsidRPr="00D3733A">
        <w:t xml:space="preserve"> transparency and reduce</w:t>
      </w:r>
      <w:r>
        <w:t>s</w:t>
      </w:r>
      <w:r w:rsidR="005462C4" w:rsidRPr="00D3733A">
        <w:t xml:space="preserve"> the potential for fraud.  The </w:t>
      </w:r>
      <w:r w:rsidR="002C43EF">
        <w:t>report</w:t>
      </w:r>
      <w:r w:rsidR="002C43EF" w:rsidRPr="00D3733A">
        <w:t xml:space="preserve"> </w:t>
      </w:r>
      <w:r w:rsidR="005462C4" w:rsidRPr="00D3733A">
        <w:t>cannot sim</w:t>
      </w:r>
      <w:r w:rsidR="00BE6B84" w:rsidRPr="003C365B">
        <w:t>ply indicate that the property was listed or s</w:t>
      </w:r>
      <w:r w:rsidR="005462C4" w:rsidRPr="003C365B">
        <w:t xml:space="preserve">old and not </w:t>
      </w:r>
      <w:r w:rsidR="00123617">
        <w:t xml:space="preserve">include an explanation for </w:t>
      </w:r>
      <w:r w:rsidR="005462C4" w:rsidRPr="003C365B">
        <w:t xml:space="preserve">why </w:t>
      </w:r>
      <w:r w:rsidR="00123617">
        <w:t>a</w:t>
      </w:r>
      <w:r w:rsidR="00123617" w:rsidRPr="003C365B">
        <w:t xml:space="preserve"> </w:t>
      </w:r>
      <w:r w:rsidR="00BE6B84" w:rsidRPr="003C365B">
        <w:t>listing or price differs</w:t>
      </w:r>
      <w:r w:rsidR="005462C4" w:rsidRPr="003C365B">
        <w:t xml:space="preserve"> from the valu</w:t>
      </w:r>
      <w:r>
        <w:t>e</w:t>
      </w:r>
      <w:r w:rsidR="005462C4" w:rsidRPr="003C365B">
        <w:t xml:space="preserve"> or why </w:t>
      </w:r>
      <w:r w:rsidR="00123617">
        <w:t>a</w:t>
      </w:r>
      <w:r w:rsidR="00123617" w:rsidRPr="003C365B">
        <w:t xml:space="preserve"> </w:t>
      </w:r>
      <w:r w:rsidR="005462C4" w:rsidRPr="003C365B">
        <w:t xml:space="preserve">sale price </w:t>
      </w:r>
      <w:r>
        <w:t>is not considered to be</w:t>
      </w:r>
      <w:r w:rsidR="005462C4" w:rsidRPr="003C365B">
        <w:t xml:space="preserve"> relevant.  </w:t>
      </w:r>
      <w:r w:rsidR="00BE6B84" w:rsidRPr="003C365B">
        <w:t xml:space="preserve">If </w:t>
      </w:r>
      <w:r>
        <w:t xml:space="preserve">an aspect of the sales history raises </w:t>
      </w:r>
      <w:r w:rsidR="00BE6B84" w:rsidRPr="003C365B">
        <w:t xml:space="preserve">a red flag, it </w:t>
      </w:r>
      <w:r w:rsidR="005462C4" w:rsidRPr="003C365B">
        <w:t>must be explained</w:t>
      </w:r>
      <w:r w:rsidR="00123617">
        <w:t xml:space="preserve"> and </w:t>
      </w:r>
      <w:r w:rsidR="005462C4" w:rsidRPr="003C365B">
        <w:t>addressed</w:t>
      </w:r>
      <w:r>
        <w:t xml:space="preserve"> in the report</w:t>
      </w:r>
      <w:r w:rsidR="005462C4" w:rsidRPr="003C365B">
        <w:t xml:space="preserve">.  </w:t>
      </w:r>
      <w:r w:rsidR="00BE6B84" w:rsidRPr="003C365B">
        <w:t>I</w:t>
      </w:r>
      <w:r w:rsidR="005462C4" w:rsidRPr="003C365B">
        <w:t xml:space="preserve">f the </w:t>
      </w:r>
      <w:r>
        <w:t xml:space="preserve">sales </w:t>
      </w:r>
      <w:r w:rsidR="005462C4" w:rsidRPr="003C365B">
        <w:t>history i</w:t>
      </w:r>
      <w:r w:rsidR="00BE6B84" w:rsidRPr="003C365B">
        <w:t xml:space="preserve">ndicates that the property sold </w:t>
      </w:r>
      <w:r w:rsidR="005462C4" w:rsidRPr="003C365B">
        <w:t xml:space="preserve">months earlier at a price that was 20% less than the current value </w:t>
      </w:r>
      <w:r w:rsidR="00BE6B84" w:rsidRPr="003C365B">
        <w:t xml:space="preserve">but </w:t>
      </w:r>
      <w:r w:rsidR="005462C4" w:rsidRPr="003C365B">
        <w:t xml:space="preserve">a 10% time adjustment </w:t>
      </w:r>
      <w:r w:rsidR="00BE6B84" w:rsidRPr="003C365B">
        <w:t>was used for</w:t>
      </w:r>
      <w:r w:rsidR="005462C4" w:rsidRPr="003C365B">
        <w:t xml:space="preserve"> </w:t>
      </w:r>
      <w:r w:rsidR="00123617">
        <w:t>the</w:t>
      </w:r>
      <w:r w:rsidR="00123617" w:rsidRPr="003C365B">
        <w:t xml:space="preserve"> </w:t>
      </w:r>
      <w:r w:rsidR="005462C4" w:rsidRPr="003C365B">
        <w:t>comparable sales that occurred months earlier, the discrepancy</w:t>
      </w:r>
      <w:r w:rsidR="00123617">
        <w:t xml:space="preserve"> must be explained in the report</w:t>
      </w:r>
      <w:r w:rsidR="005462C4" w:rsidRPr="003C365B">
        <w:t xml:space="preserve">.  </w:t>
      </w:r>
    </w:p>
    <w:p w14:paraId="24FCEEDD" w14:textId="77777777" w:rsidR="005462C4" w:rsidRPr="00615BA5" w:rsidRDefault="005462C4" w:rsidP="00C95BA9">
      <w:pPr>
        <w:spacing w:line="240" w:lineRule="auto"/>
      </w:pPr>
      <w:r w:rsidRPr="003C365B">
        <w:t>See CUSPAP 18.31.3 and Communiques on Fraud:</w:t>
      </w:r>
    </w:p>
    <w:p w14:paraId="16644F42" w14:textId="04E8CA49" w:rsidR="001B79E2" w:rsidRPr="00615BA5" w:rsidRDefault="003E40F0" w:rsidP="00C95BA9">
      <w:pPr>
        <w:pStyle w:val="Default"/>
        <w:ind w:left="90"/>
        <w:rPr>
          <w:rFonts w:asciiTheme="minorHAnsi" w:hAnsiTheme="minorHAnsi" w:cstheme="minorHAnsi"/>
          <w:sz w:val="22"/>
          <w:szCs w:val="22"/>
        </w:rPr>
      </w:pPr>
      <w:hyperlink r:id="rId50" w:anchor="F" w:history="1">
        <w:r w:rsidR="00521EE4" w:rsidRPr="002C09FF">
          <w:rPr>
            <w:rStyle w:val="Hyperlink"/>
            <w:rFonts w:asciiTheme="minorHAnsi" w:hAnsiTheme="minorHAnsi" w:cstheme="minorHAnsi"/>
            <w:sz w:val="22"/>
            <w:szCs w:val="22"/>
          </w:rPr>
          <w:t>https://www.aicanada.ca/members-home/professional-practice-resources/professional-practice-resource-library/#F</w:t>
        </w:r>
      </w:hyperlink>
    </w:p>
    <w:p w14:paraId="31BB4EB0" w14:textId="77777777" w:rsidR="00BE6B84" w:rsidRPr="00615BA5" w:rsidRDefault="00BE6B84" w:rsidP="00C95BA9">
      <w:pPr>
        <w:pStyle w:val="Heading1"/>
        <w:spacing w:line="240" w:lineRule="auto"/>
      </w:pPr>
      <w:bookmarkStart w:id="23" w:name="_Toc536628945"/>
      <w:r w:rsidRPr="00615BA5">
        <w:t>6.2.22. Reconciliation</w:t>
      </w:r>
      <w:bookmarkEnd w:id="23"/>
    </w:p>
    <w:p w14:paraId="79C67ACB" w14:textId="2F7B5438" w:rsidR="00BE6B84" w:rsidRPr="00615BA5" w:rsidRDefault="00BE6B84" w:rsidP="00C95BA9">
      <w:pPr>
        <w:spacing w:line="240" w:lineRule="auto"/>
      </w:pPr>
      <w:r w:rsidRPr="006A3D41">
        <w:rPr>
          <w:b/>
        </w:rPr>
        <w:t xml:space="preserve">6.2.22: </w:t>
      </w:r>
      <w:r w:rsidR="008324AD" w:rsidRPr="006A3D41">
        <w:rPr>
          <w:b/>
        </w:rPr>
        <w:t>In a report, a Member must</w:t>
      </w:r>
      <w:r w:rsidRPr="006A3D41">
        <w:rPr>
          <w:b/>
        </w:rPr>
        <w:t xml:space="preserve"> review and reconcile the data, analyses and conclusions of each valuation approach into a final value estimate;</w:t>
      </w:r>
      <w:r w:rsidRPr="00615BA5">
        <w:t xml:space="preserve"> </w:t>
      </w:r>
    </w:p>
    <w:p w14:paraId="165689E3" w14:textId="1865876F" w:rsidR="00115EFD" w:rsidRPr="00615BA5" w:rsidRDefault="00E35507" w:rsidP="00C95BA9">
      <w:pPr>
        <w:spacing w:line="240" w:lineRule="auto"/>
      </w:pPr>
      <w:r>
        <w:t>Peer Reviewers have noted that so</w:t>
      </w:r>
      <w:r w:rsidR="00115EFD" w:rsidRPr="00615BA5">
        <w:t xml:space="preserve">me form reports have </w:t>
      </w:r>
      <w:r>
        <w:t xml:space="preserve">a </w:t>
      </w:r>
      <w:r w:rsidR="00115EFD" w:rsidRPr="00615BA5">
        <w:t xml:space="preserve">reconciliation in the wrong place.  </w:t>
      </w:r>
    </w:p>
    <w:p w14:paraId="10F48975" w14:textId="23F0545D" w:rsidR="00115EFD" w:rsidRPr="00615BA5" w:rsidRDefault="00115EFD" w:rsidP="00C95BA9">
      <w:pPr>
        <w:spacing w:line="240" w:lineRule="auto"/>
      </w:pPr>
      <w:r w:rsidRPr="00615BA5">
        <w:t xml:space="preserve">The first reconciliation is typically </w:t>
      </w:r>
      <w:r w:rsidR="00E35507">
        <w:t xml:space="preserve">found directly </w:t>
      </w:r>
      <w:r w:rsidRPr="00615BA5">
        <w:t xml:space="preserve">below the Direct Comparison Approach grid to reconcile each comparable sale and </w:t>
      </w:r>
      <w:r w:rsidR="00E35507">
        <w:t xml:space="preserve">explain </w:t>
      </w:r>
      <w:r w:rsidRPr="00615BA5">
        <w:t xml:space="preserve">how it is similar or dissimilar to the subject </w:t>
      </w:r>
      <w:r w:rsidR="00E35507">
        <w:t xml:space="preserve">property </w:t>
      </w:r>
      <w:r w:rsidRPr="00615BA5">
        <w:t xml:space="preserve">and </w:t>
      </w:r>
      <w:r w:rsidR="00E35507">
        <w:t xml:space="preserve">arrive at a </w:t>
      </w:r>
      <w:r w:rsidRPr="00615BA5">
        <w:t xml:space="preserve">final value for </w:t>
      </w:r>
      <w:r w:rsidR="00E35507">
        <w:t>the Direct Comparison Approach</w:t>
      </w:r>
      <w:r w:rsidRPr="00615BA5">
        <w:t xml:space="preserve">. </w:t>
      </w:r>
    </w:p>
    <w:p w14:paraId="104A05A1" w14:textId="446C5AE9" w:rsidR="00115EFD" w:rsidRPr="00615BA5" w:rsidRDefault="00115EFD" w:rsidP="00C95BA9">
      <w:pPr>
        <w:spacing w:line="240" w:lineRule="auto"/>
      </w:pPr>
      <w:r w:rsidRPr="00615BA5">
        <w:t xml:space="preserve">The final reconciliation is for all approaches used </w:t>
      </w:r>
      <w:r w:rsidR="00E35507">
        <w:t>in</w:t>
      </w:r>
      <w:r w:rsidR="00E35507" w:rsidRPr="00615BA5">
        <w:t xml:space="preserve"> </w:t>
      </w:r>
      <w:r w:rsidRPr="00615BA5">
        <w:t xml:space="preserve">the report and is designed to reconcile all </w:t>
      </w:r>
      <w:r w:rsidR="00E35507">
        <w:t>three</w:t>
      </w:r>
      <w:r w:rsidR="00E35507" w:rsidRPr="00615BA5">
        <w:t xml:space="preserve"> </w:t>
      </w:r>
      <w:r w:rsidRPr="00615BA5">
        <w:t xml:space="preserve">approaches into </w:t>
      </w:r>
      <w:r w:rsidR="00E35507">
        <w:t>a</w:t>
      </w:r>
      <w:r w:rsidR="00E35507" w:rsidRPr="00615BA5">
        <w:t xml:space="preserve"> </w:t>
      </w:r>
      <w:r w:rsidRPr="00615BA5">
        <w:t>final value.</w:t>
      </w:r>
    </w:p>
    <w:p w14:paraId="19FB462C" w14:textId="77777777" w:rsidR="00B45E9D" w:rsidRPr="00615BA5" w:rsidRDefault="00B45E9D" w:rsidP="00C95BA9">
      <w:pPr>
        <w:pStyle w:val="Heading1"/>
        <w:spacing w:line="240" w:lineRule="auto"/>
      </w:pPr>
      <w:bookmarkStart w:id="24" w:name="_Toc536628946"/>
      <w:r w:rsidRPr="00615BA5">
        <w:t xml:space="preserve">6.2.23. </w:t>
      </w:r>
      <w:r w:rsidR="00301E21" w:rsidRPr="00615BA5">
        <w:t>Final Value</w:t>
      </w:r>
      <w:bookmarkEnd w:id="24"/>
    </w:p>
    <w:p w14:paraId="57BFC513" w14:textId="707DC00F" w:rsidR="00B45E9D" w:rsidRPr="00615BA5" w:rsidRDefault="00B45E9D" w:rsidP="00C95BA9">
      <w:pPr>
        <w:spacing w:line="240" w:lineRule="auto"/>
      </w:pPr>
      <w:r w:rsidRPr="006A3D41">
        <w:rPr>
          <w:b/>
        </w:rPr>
        <w:t>6.2.23:</w:t>
      </w:r>
      <w:r w:rsidR="008324AD" w:rsidRPr="006A3D41">
        <w:rPr>
          <w:b/>
        </w:rPr>
        <w:t xml:space="preserve"> In a report, a Member must</w:t>
      </w:r>
      <w:r w:rsidRPr="006A3D41">
        <w:rPr>
          <w:b/>
        </w:rPr>
        <w:t xml:space="preserve"> report the final value estimate;</w:t>
      </w:r>
      <w:r w:rsidRPr="00615BA5">
        <w:t xml:space="preserve"> </w:t>
      </w:r>
    </w:p>
    <w:p w14:paraId="3C67DDDF" w14:textId="77777777" w:rsidR="00301E21" w:rsidRPr="00615BA5" w:rsidRDefault="00301E21" w:rsidP="00C95BA9">
      <w:pPr>
        <w:pStyle w:val="Heading1"/>
        <w:spacing w:line="240" w:lineRule="auto"/>
      </w:pPr>
      <w:bookmarkStart w:id="25" w:name="_Toc536628947"/>
      <w:r w:rsidRPr="00615BA5">
        <w:lastRenderedPageBreak/>
        <w:t>6.2.24. Certification</w:t>
      </w:r>
      <w:bookmarkEnd w:id="25"/>
    </w:p>
    <w:p w14:paraId="77B796D7" w14:textId="233E044D" w:rsidR="00301E21" w:rsidRPr="00615BA5" w:rsidRDefault="00301E21" w:rsidP="00C95BA9">
      <w:pPr>
        <w:spacing w:line="240" w:lineRule="auto"/>
      </w:pPr>
      <w:r w:rsidRPr="006A3D41">
        <w:rPr>
          <w:b/>
        </w:rPr>
        <w:t xml:space="preserve">6.2.24: </w:t>
      </w:r>
      <w:r w:rsidR="008324AD" w:rsidRPr="006A3D41">
        <w:rPr>
          <w:b/>
        </w:rPr>
        <w:t>In a report, a Member must</w:t>
      </w:r>
      <w:r w:rsidRPr="006A3D41">
        <w:rPr>
          <w:b/>
        </w:rPr>
        <w:t xml:space="preserve"> include a signed certification of value;</w:t>
      </w:r>
      <w:r w:rsidRPr="00615BA5">
        <w:t xml:space="preserve"> </w:t>
      </w:r>
    </w:p>
    <w:p w14:paraId="5922A659" w14:textId="431DBC21" w:rsidR="00AC13EF" w:rsidRPr="00615BA5" w:rsidRDefault="00AC13EF" w:rsidP="00C95BA9">
      <w:pPr>
        <w:spacing w:line="240" w:lineRule="auto"/>
      </w:pPr>
      <w:r w:rsidRPr="00615BA5">
        <w:t xml:space="preserve">Under the Ethics Standard, Candidates </w:t>
      </w:r>
      <w:r w:rsidR="00992E9E">
        <w:t>can identify</w:t>
      </w:r>
      <w:r w:rsidR="00992E9E" w:rsidRPr="00615BA5">
        <w:t xml:space="preserve"> </w:t>
      </w:r>
      <w:r w:rsidRPr="00615BA5">
        <w:t xml:space="preserve">themselves as an </w:t>
      </w:r>
      <w:r w:rsidRPr="00615BA5">
        <w:rPr>
          <w:i/>
        </w:rPr>
        <w:t>AIC Candidate Member</w:t>
      </w:r>
      <w:r w:rsidRPr="00615BA5">
        <w:t xml:space="preserve"> or any other reasonable title, as set out by an employer or by legislation. </w:t>
      </w:r>
      <w:r w:rsidR="00992E9E">
        <w:t xml:space="preserve"> </w:t>
      </w:r>
      <w:r w:rsidRPr="00615BA5">
        <w:t>They may not hold themselves out as an</w:t>
      </w:r>
      <w:r w:rsidR="00222A04">
        <w:t xml:space="preserve"> “appraiser”</w:t>
      </w:r>
      <w:proofErr w:type="gramStart"/>
      <w:r w:rsidR="00222A04">
        <w:t xml:space="preserve">, </w:t>
      </w:r>
      <w:r w:rsidRPr="00615BA5">
        <w:t xml:space="preserve"> “</w:t>
      </w:r>
      <w:proofErr w:type="gramEnd"/>
      <w:r w:rsidRPr="00615BA5">
        <w:t>accredited appraiser”, a “Designated appraiser”, CRA Candidate</w:t>
      </w:r>
      <w:r w:rsidR="00992E9E">
        <w:t>, AACI Candidate,</w:t>
      </w:r>
      <w:r w:rsidRPr="00615BA5">
        <w:t xml:space="preserve"> Candidate CRA</w:t>
      </w:r>
      <w:r w:rsidR="00992E9E">
        <w:t>, or Candidate AACI</w:t>
      </w:r>
      <w:r w:rsidRPr="00615BA5">
        <w:t xml:space="preserve"> </w:t>
      </w:r>
    </w:p>
    <w:p w14:paraId="420EA8EE" w14:textId="2B9AFF66" w:rsidR="00AC13EF" w:rsidRPr="00615BA5" w:rsidRDefault="00AC13EF" w:rsidP="00C95BA9">
      <w:pPr>
        <w:spacing w:line="240" w:lineRule="auto"/>
      </w:pPr>
      <w:r w:rsidRPr="00615BA5">
        <w:t xml:space="preserve">Wording </w:t>
      </w:r>
      <w:r w:rsidR="00992E9E">
        <w:t xml:space="preserve">in the Certification </w:t>
      </w:r>
      <w:r w:rsidRPr="00615BA5">
        <w:t xml:space="preserve">should be revised to </w:t>
      </w:r>
      <w:r w:rsidR="0024006B">
        <w:t>“We” from “I” when</w:t>
      </w:r>
      <w:r w:rsidRPr="00615BA5">
        <w:t xml:space="preserve"> there are two members signing the report.  </w:t>
      </w:r>
    </w:p>
    <w:p w14:paraId="293EC3CF" w14:textId="06FE0DDF" w:rsidR="00AC13EF" w:rsidRPr="00615BA5" w:rsidRDefault="0024006B" w:rsidP="00C95BA9">
      <w:pPr>
        <w:spacing w:line="240" w:lineRule="auto"/>
      </w:pPr>
      <w:r>
        <w:t>When a report is changed/revised the Date of the Report should also be changed/revised.  Clients should be advised of any changes to the date of a report in</w:t>
      </w:r>
      <w:r w:rsidR="00AC13EF" w:rsidRPr="00615BA5">
        <w:t xml:space="preserve"> an accompanying letter.</w:t>
      </w:r>
    </w:p>
    <w:p w14:paraId="67EAAADF" w14:textId="42BD27B0" w:rsidR="00AC13EF" w:rsidRPr="00615BA5" w:rsidRDefault="00AC13EF" w:rsidP="00C95BA9">
      <w:pPr>
        <w:spacing w:line="240" w:lineRule="auto"/>
      </w:pPr>
      <w:r w:rsidRPr="00615BA5">
        <w:t>See Made a Mistake PEB</w:t>
      </w:r>
      <w:r w:rsidR="000A7610">
        <w:t>:</w:t>
      </w:r>
    </w:p>
    <w:p w14:paraId="30AA2293" w14:textId="77777777" w:rsidR="00B45E9D" w:rsidRPr="00615BA5" w:rsidRDefault="003E40F0" w:rsidP="00C95BA9">
      <w:pPr>
        <w:pStyle w:val="Default"/>
        <w:rPr>
          <w:rFonts w:asciiTheme="minorHAnsi" w:hAnsiTheme="minorHAnsi" w:cstheme="minorHAnsi"/>
          <w:sz w:val="22"/>
          <w:szCs w:val="22"/>
        </w:rPr>
      </w:pPr>
      <w:hyperlink r:id="rId51" w:history="1">
        <w:r w:rsidR="00D4744E" w:rsidRPr="00615BA5">
          <w:rPr>
            <w:rStyle w:val="Hyperlink"/>
            <w:rFonts w:asciiTheme="minorHAnsi" w:hAnsiTheme="minorHAnsi" w:cstheme="minorHAnsi"/>
            <w:sz w:val="22"/>
            <w:szCs w:val="22"/>
          </w:rPr>
          <w:t>https://www.aicanada.ca/members-home/professional-practice-resources/professional-excellence-bulletins/</w:t>
        </w:r>
      </w:hyperlink>
    </w:p>
    <w:p w14:paraId="09FD3B05" w14:textId="77777777" w:rsidR="00301E21" w:rsidRPr="00615BA5" w:rsidRDefault="00D4744E" w:rsidP="00C95BA9">
      <w:pPr>
        <w:pStyle w:val="Heading1"/>
        <w:spacing w:line="240" w:lineRule="auto"/>
      </w:pPr>
      <w:bookmarkStart w:id="26" w:name="_Toc536628948"/>
      <w:r w:rsidRPr="00615BA5">
        <w:t>Further Comments:</w:t>
      </w:r>
      <w:bookmarkEnd w:id="26"/>
    </w:p>
    <w:p w14:paraId="52CDEB95" w14:textId="77777777" w:rsidR="00D4744E" w:rsidRPr="006A3D41" w:rsidRDefault="00D4744E" w:rsidP="00C95BA9">
      <w:pPr>
        <w:spacing w:line="240" w:lineRule="auto"/>
        <w:rPr>
          <w:b/>
        </w:rPr>
      </w:pPr>
      <w:r w:rsidRPr="006A3D41">
        <w:rPr>
          <w:b/>
        </w:rPr>
        <w:t>LETTER OF TRANSMITTAL</w:t>
      </w:r>
    </w:p>
    <w:p w14:paraId="3D2CDF41" w14:textId="5B66E772" w:rsidR="00432427" w:rsidRDefault="00D4744E" w:rsidP="00C95BA9">
      <w:pPr>
        <w:spacing w:line="240" w:lineRule="auto"/>
      </w:pPr>
      <w:r w:rsidRPr="00615BA5">
        <w:t xml:space="preserve">Some form reports </w:t>
      </w:r>
      <w:r w:rsidR="00432427">
        <w:t xml:space="preserve">include a letter of transmittal that </w:t>
      </w:r>
      <w:r w:rsidRPr="00615BA5">
        <w:t>show</w:t>
      </w:r>
      <w:r w:rsidR="00432427">
        <w:t>s</w:t>
      </w:r>
      <w:r w:rsidRPr="00615BA5">
        <w:t xml:space="preserve"> only one signature from the AIC Candidate Member.  A</w:t>
      </w:r>
      <w:r w:rsidR="00432427">
        <w:t>ny</w:t>
      </w:r>
      <w:r w:rsidRPr="00615BA5">
        <w:t xml:space="preserve"> signature page must include the </w:t>
      </w:r>
      <w:r w:rsidR="00432427" w:rsidRPr="00615BA5">
        <w:t>cosigner’s</w:t>
      </w:r>
      <w:r w:rsidRPr="00615BA5">
        <w:t xml:space="preserve"> signature (see CUSPAP 7.26.8) or alternatively a statement in the report should explain why this cannot be done.  </w:t>
      </w:r>
    </w:p>
    <w:p w14:paraId="40D398E2" w14:textId="09F0B86C" w:rsidR="00D4744E" w:rsidRPr="00615BA5" w:rsidRDefault="00432427" w:rsidP="00C95BA9">
      <w:pPr>
        <w:spacing w:line="240" w:lineRule="auto"/>
      </w:pPr>
      <w:r>
        <w:t xml:space="preserve">Example: </w:t>
      </w:r>
      <w:r w:rsidRPr="00432427">
        <w:t>Where the letter of transmittal generated by the form only provides for one signature, the following wording is suggested: “Due to system limitations by the client’s form or by the software provider, the candidate and co-signor’s signatures do not appear in the transmittal letter. Since only one signature appears in the letter of transmittal, the reader is referred to the Certification page of this report for the validation of the signatures on this report”.</w:t>
      </w:r>
    </w:p>
    <w:p w14:paraId="6DC51835" w14:textId="77777777" w:rsidR="00D4744E" w:rsidRPr="006A3D41" w:rsidRDefault="00D4744E" w:rsidP="00C95BA9">
      <w:pPr>
        <w:spacing w:line="240" w:lineRule="auto"/>
        <w:rPr>
          <w:b/>
        </w:rPr>
      </w:pPr>
      <w:r w:rsidRPr="006A3D41">
        <w:rPr>
          <w:b/>
        </w:rPr>
        <w:t>LAYOUT</w:t>
      </w:r>
    </w:p>
    <w:p w14:paraId="3D3E8CAF" w14:textId="20F492C6" w:rsidR="00D4744E" w:rsidRPr="00615BA5" w:rsidRDefault="00432427" w:rsidP="00C95BA9">
      <w:pPr>
        <w:spacing w:line="240" w:lineRule="auto"/>
      </w:pPr>
      <w:r>
        <w:t>B</w:t>
      </w:r>
      <w:r w:rsidR="00D4744E" w:rsidRPr="00615BA5">
        <w:t>lank pages that do not contribute to the report in any way</w:t>
      </w:r>
      <w:r>
        <w:t xml:space="preserve"> should be removed</w:t>
      </w:r>
      <w:r w:rsidR="00D4744E" w:rsidRPr="00615BA5">
        <w:t xml:space="preserve">. If </w:t>
      </w:r>
      <w:r w:rsidR="00721F25">
        <w:t>is a result of</w:t>
      </w:r>
      <w:r w:rsidR="00D4744E" w:rsidRPr="00615BA5">
        <w:t xml:space="preserve"> a limitation </w:t>
      </w:r>
      <w:r w:rsidR="00721F25">
        <w:t>in</w:t>
      </w:r>
      <w:r w:rsidR="00721F25" w:rsidRPr="00615BA5">
        <w:t xml:space="preserve"> </w:t>
      </w:r>
      <w:r w:rsidR="00D4744E" w:rsidRPr="00615BA5">
        <w:t>the software, inform the AIC as the ability to add/remove pages that are relevant to each assignment</w:t>
      </w:r>
      <w:r w:rsidR="006757B5">
        <w:t xml:space="preserve"> should be available</w:t>
      </w:r>
      <w:r w:rsidR="00D4744E" w:rsidRPr="00615BA5">
        <w:t>.</w:t>
      </w:r>
    </w:p>
    <w:p w14:paraId="7CD20497" w14:textId="77777777" w:rsidR="00D4744E" w:rsidRPr="006A3D41" w:rsidRDefault="00D4744E" w:rsidP="00C95BA9">
      <w:pPr>
        <w:spacing w:line="240" w:lineRule="auto"/>
        <w:rPr>
          <w:b/>
        </w:rPr>
      </w:pPr>
      <w:r w:rsidRPr="006A3D41">
        <w:rPr>
          <w:b/>
        </w:rPr>
        <w:t>SPELLING/GRAMMAR</w:t>
      </w:r>
    </w:p>
    <w:p w14:paraId="20070EEA" w14:textId="0E59CBDE" w:rsidR="00D4744E" w:rsidRPr="00615BA5" w:rsidRDefault="00D4744E" w:rsidP="00C95BA9">
      <w:pPr>
        <w:spacing w:line="240" w:lineRule="auto"/>
      </w:pPr>
      <w:r w:rsidRPr="00615BA5">
        <w:t xml:space="preserve">Reports </w:t>
      </w:r>
      <w:r w:rsidR="00432427">
        <w:t>should be</w:t>
      </w:r>
      <w:r w:rsidR="00432427" w:rsidRPr="00615BA5">
        <w:t xml:space="preserve"> </w:t>
      </w:r>
      <w:r w:rsidRPr="00615BA5">
        <w:t>re-read by the Candidate and the co-signing/review</w:t>
      </w:r>
      <w:r w:rsidR="00432427">
        <w:t>ing Member</w:t>
      </w:r>
      <w:r w:rsidRPr="00615BA5">
        <w:t xml:space="preserve"> to ensure the final report is professional – with no grammar or spelling mistakes.  </w:t>
      </w:r>
    </w:p>
    <w:p w14:paraId="64961D7C" w14:textId="77777777" w:rsidR="002574A5" w:rsidRPr="00615BA5" w:rsidRDefault="002574A5" w:rsidP="00C95BA9">
      <w:pPr>
        <w:spacing w:line="240" w:lineRule="auto"/>
      </w:pPr>
      <w:r w:rsidRPr="00615BA5">
        <w:t xml:space="preserve">We recommend using a </w:t>
      </w:r>
      <w:r w:rsidR="00D4744E" w:rsidRPr="00615BA5">
        <w:t xml:space="preserve">2018 CUSPAP </w:t>
      </w:r>
      <w:r w:rsidRPr="00615BA5">
        <w:t>checklist</w:t>
      </w:r>
      <w:r w:rsidR="00D4744E" w:rsidRPr="00615BA5">
        <w:t xml:space="preserve"> or create your own:</w:t>
      </w:r>
    </w:p>
    <w:p w14:paraId="2C72E115" w14:textId="04C79598" w:rsidR="002574A5" w:rsidRPr="00615BA5" w:rsidRDefault="003E40F0" w:rsidP="00C95BA9">
      <w:pPr>
        <w:spacing w:line="240" w:lineRule="auto"/>
      </w:pPr>
      <w:hyperlink w:history="1"/>
      <w:hyperlink r:id="rId52" w:history="1">
        <w:r w:rsidR="002574A5" w:rsidRPr="00615BA5">
          <w:rPr>
            <w:rStyle w:val="Hyperlink"/>
          </w:rPr>
          <w:t>https://www.aicanada.ca/wp-content/uploads/CUSPAP-2018-Compliance-Checklist.pdf</w:t>
        </w:r>
      </w:hyperlink>
    </w:p>
    <w:sectPr w:rsidR="002574A5" w:rsidRPr="00615BA5" w:rsidSect="006A3D41">
      <w:headerReference w:type="even" r:id="rId53"/>
      <w:headerReference w:type="default" r:id="rId54"/>
      <w:footerReference w:type="even" r:id="rId55"/>
      <w:footerReference w:type="default" r:id="rId56"/>
      <w:headerReference w:type="first" r:id="rId57"/>
      <w:footerReference w:type="first" r:id="rId5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E7763" w14:textId="77777777" w:rsidR="003E40F0" w:rsidRDefault="003E40F0" w:rsidP="00DF6D1E">
      <w:pPr>
        <w:spacing w:before="0" w:after="0" w:line="240" w:lineRule="auto"/>
      </w:pPr>
      <w:r>
        <w:separator/>
      </w:r>
    </w:p>
  </w:endnote>
  <w:endnote w:type="continuationSeparator" w:id="0">
    <w:p w14:paraId="35745FAF" w14:textId="77777777" w:rsidR="003E40F0" w:rsidRDefault="003E40F0" w:rsidP="00DF6D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BE9F6" w14:textId="77777777" w:rsidR="003A208B" w:rsidRDefault="003A20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C9E0F" w14:textId="77777777" w:rsidR="003A208B" w:rsidRPr="004278A8" w:rsidRDefault="003A208B" w:rsidP="00A05EB4">
    <w:pPr>
      <w:spacing w:before="0" w:after="0"/>
      <w:jc w:val="center"/>
      <w:rPr>
        <w:sz w:val="20"/>
      </w:rPr>
    </w:pPr>
    <w:r w:rsidRPr="004278A8">
      <w:rPr>
        <w:sz w:val="20"/>
      </w:rPr>
      <w:t>© 2019 Appraisal Institute of Canada, Ottawa, Ontario</w:t>
    </w:r>
  </w:p>
  <w:p w14:paraId="79C3F7FA" w14:textId="409CB8EF" w:rsidR="003A208B" w:rsidRDefault="003A208B" w:rsidP="00A05EB4">
    <w:pPr>
      <w:pStyle w:val="Footer"/>
      <w:jc w:val="center"/>
    </w:pPr>
    <w:r w:rsidRPr="004278A8">
      <w:rPr>
        <w:sz w:val="20"/>
      </w:rPr>
      <w:t>This document is strictl</w:t>
    </w:r>
    <w:r>
      <w:rPr>
        <w:sz w:val="20"/>
      </w:rPr>
      <w:t>y for the use of AIC M</w:t>
    </w:r>
    <w:r w:rsidRPr="004278A8">
      <w:rPr>
        <w:sz w:val="20"/>
      </w:rPr>
      <w:t>embers.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03C61" w14:textId="77777777" w:rsidR="003A208B" w:rsidRDefault="003A2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25679" w14:textId="77777777" w:rsidR="003E40F0" w:rsidRDefault="003E40F0" w:rsidP="00DF6D1E">
      <w:pPr>
        <w:spacing w:before="0" w:after="0" w:line="240" w:lineRule="auto"/>
      </w:pPr>
      <w:r>
        <w:separator/>
      </w:r>
    </w:p>
  </w:footnote>
  <w:footnote w:type="continuationSeparator" w:id="0">
    <w:p w14:paraId="31996D05" w14:textId="77777777" w:rsidR="003E40F0" w:rsidRDefault="003E40F0" w:rsidP="00DF6D1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9BED3" w14:textId="77777777" w:rsidR="003A208B" w:rsidRDefault="003A20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CD17F" w14:textId="77777777" w:rsidR="003A208B" w:rsidRDefault="003A20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08285" w14:textId="77777777" w:rsidR="003A208B" w:rsidRDefault="003A20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ED"/>
    <w:rsid w:val="00004456"/>
    <w:rsid w:val="00006992"/>
    <w:rsid w:val="00070D4A"/>
    <w:rsid w:val="00080CED"/>
    <w:rsid w:val="000A7610"/>
    <w:rsid w:val="000B5EA9"/>
    <w:rsid w:val="000E4493"/>
    <w:rsid w:val="000F23A4"/>
    <w:rsid w:val="00115EFD"/>
    <w:rsid w:val="00123617"/>
    <w:rsid w:val="0013738B"/>
    <w:rsid w:val="00140FAE"/>
    <w:rsid w:val="00143393"/>
    <w:rsid w:val="00191D7E"/>
    <w:rsid w:val="001B79E2"/>
    <w:rsid w:val="00205112"/>
    <w:rsid w:val="00210723"/>
    <w:rsid w:val="00222A04"/>
    <w:rsid w:val="0024006B"/>
    <w:rsid w:val="00245CE4"/>
    <w:rsid w:val="00255CE3"/>
    <w:rsid w:val="002574A5"/>
    <w:rsid w:val="00257D9F"/>
    <w:rsid w:val="00267D6D"/>
    <w:rsid w:val="002A43AA"/>
    <w:rsid w:val="002C09FF"/>
    <w:rsid w:val="002C43EF"/>
    <w:rsid w:val="002E2580"/>
    <w:rsid w:val="002F18F8"/>
    <w:rsid w:val="00301E21"/>
    <w:rsid w:val="00394211"/>
    <w:rsid w:val="003A208B"/>
    <w:rsid w:val="003C365B"/>
    <w:rsid w:val="003E40F0"/>
    <w:rsid w:val="004270EE"/>
    <w:rsid w:val="00432427"/>
    <w:rsid w:val="00461D87"/>
    <w:rsid w:val="0050163C"/>
    <w:rsid w:val="00521EE4"/>
    <w:rsid w:val="005462C4"/>
    <w:rsid w:val="00595ECD"/>
    <w:rsid w:val="005A19AD"/>
    <w:rsid w:val="005B2AFB"/>
    <w:rsid w:val="005B7268"/>
    <w:rsid w:val="00602735"/>
    <w:rsid w:val="00615BA5"/>
    <w:rsid w:val="006757B5"/>
    <w:rsid w:val="00695D1E"/>
    <w:rsid w:val="006A3D41"/>
    <w:rsid w:val="006A5E23"/>
    <w:rsid w:val="006B7EBE"/>
    <w:rsid w:val="006B7FE2"/>
    <w:rsid w:val="006D2C0B"/>
    <w:rsid w:val="006E0469"/>
    <w:rsid w:val="00716B65"/>
    <w:rsid w:val="00721F25"/>
    <w:rsid w:val="007242F0"/>
    <w:rsid w:val="007333C1"/>
    <w:rsid w:val="00734017"/>
    <w:rsid w:val="00735408"/>
    <w:rsid w:val="00781F82"/>
    <w:rsid w:val="007A5DE8"/>
    <w:rsid w:val="007B2C48"/>
    <w:rsid w:val="007B5B20"/>
    <w:rsid w:val="007F6367"/>
    <w:rsid w:val="008121D2"/>
    <w:rsid w:val="00823EC6"/>
    <w:rsid w:val="0083064C"/>
    <w:rsid w:val="008324AD"/>
    <w:rsid w:val="00866A74"/>
    <w:rsid w:val="00870412"/>
    <w:rsid w:val="00885D95"/>
    <w:rsid w:val="00896E88"/>
    <w:rsid w:val="0091375D"/>
    <w:rsid w:val="009510C1"/>
    <w:rsid w:val="00957396"/>
    <w:rsid w:val="00961DEB"/>
    <w:rsid w:val="00971B2E"/>
    <w:rsid w:val="00973D81"/>
    <w:rsid w:val="00992E9E"/>
    <w:rsid w:val="009979AA"/>
    <w:rsid w:val="009C241D"/>
    <w:rsid w:val="00A05EB4"/>
    <w:rsid w:val="00A83A7A"/>
    <w:rsid w:val="00A905B7"/>
    <w:rsid w:val="00A9425E"/>
    <w:rsid w:val="00AB1821"/>
    <w:rsid w:val="00AC13EF"/>
    <w:rsid w:val="00AE1978"/>
    <w:rsid w:val="00AE26E4"/>
    <w:rsid w:val="00AF13B7"/>
    <w:rsid w:val="00B45E9D"/>
    <w:rsid w:val="00BE6B84"/>
    <w:rsid w:val="00BF7218"/>
    <w:rsid w:val="00C03A52"/>
    <w:rsid w:val="00C74D31"/>
    <w:rsid w:val="00C84778"/>
    <w:rsid w:val="00C87575"/>
    <w:rsid w:val="00C92C65"/>
    <w:rsid w:val="00C95BA9"/>
    <w:rsid w:val="00D011EB"/>
    <w:rsid w:val="00D35321"/>
    <w:rsid w:val="00D3733A"/>
    <w:rsid w:val="00D4744E"/>
    <w:rsid w:val="00DD5F21"/>
    <w:rsid w:val="00DF6D1E"/>
    <w:rsid w:val="00E037DF"/>
    <w:rsid w:val="00E1223F"/>
    <w:rsid w:val="00E35507"/>
    <w:rsid w:val="00E62564"/>
    <w:rsid w:val="00E62A3C"/>
    <w:rsid w:val="00EA62FE"/>
    <w:rsid w:val="00EF52AF"/>
    <w:rsid w:val="00F00A13"/>
    <w:rsid w:val="00F52B05"/>
    <w:rsid w:val="00F63CFB"/>
    <w:rsid w:val="00F8794C"/>
    <w:rsid w:val="00FA207B"/>
    <w:rsid w:val="00FA72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60094"/>
  <w15:chartTrackingRefBased/>
  <w15:docId w15:val="{FED4EEEB-84BF-467E-9C60-436349C9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D1E"/>
    <w:pPr>
      <w:spacing w:before="120" w:after="120" w:line="320" w:lineRule="exact"/>
      <w:ind w:left="86"/>
    </w:pPr>
    <w:rPr>
      <w:rFonts w:eastAsia="Times New Roman" w:cstheme="minorHAnsi"/>
      <w:lang w:val="en-US" w:eastAsia="en-CA"/>
    </w:rPr>
  </w:style>
  <w:style w:type="paragraph" w:styleId="Heading1">
    <w:name w:val="heading 1"/>
    <w:basedOn w:val="Normal"/>
    <w:next w:val="Normal"/>
    <w:link w:val="Heading1Char"/>
    <w:uiPriority w:val="9"/>
    <w:qFormat/>
    <w:rsid w:val="003A208B"/>
    <w:pPr>
      <w:keepNext/>
      <w:keepLines/>
      <w:spacing w:before="240" w:after="0"/>
      <w:outlineLvl w:val="0"/>
    </w:pPr>
    <w:rPr>
      <w:rFonts w:asciiTheme="majorHAnsi" w:eastAsiaTheme="majorEastAsia" w:hAnsiTheme="majorHAnsi" w:cstheme="majorBidi"/>
      <w:b/>
      <w:color w:val="00499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0CE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3A208B"/>
    <w:rPr>
      <w:rFonts w:asciiTheme="majorHAnsi" w:eastAsiaTheme="majorEastAsia" w:hAnsiTheme="majorHAnsi" w:cstheme="majorBidi"/>
      <w:b/>
      <w:color w:val="004990"/>
      <w:sz w:val="32"/>
      <w:szCs w:val="32"/>
      <w:lang w:val="en-US" w:eastAsia="en-CA"/>
    </w:rPr>
  </w:style>
  <w:style w:type="paragraph" w:styleId="TOCHeading">
    <w:name w:val="TOC Heading"/>
    <w:basedOn w:val="Heading1"/>
    <w:next w:val="Normal"/>
    <w:uiPriority w:val="39"/>
    <w:unhideWhenUsed/>
    <w:qFormat/>
    <w:rsid w:val="00080CED"/>
    <w:pPr>
      <w:spacing w:line="259" w:lineRule="auto"/>
      <w:ind w:left="0"/>
      <w:outlineLvl w:val="9"/>
    </w:pPr>
    <w:rPr>
      <w:lang w:eastAsia="en-US"/>
    </w:rPr>
  </w:style>
  <w:style w:type="paragraph" w:styleId="TOC1">
    <w:name w:val="toc 1"/>
    <w:basedOn w:val="Normal"/>
    <w:next w:val="Normal"/>
    <w:autoRedefine/>
    <w:uiPriority w:val="39"/>
    <w:unhideWhenUsed/>
    <w:rsid w:val="00080CED"/>
    <w:pPr>
      <w:spacing w:after="100"/>
      <w:ind w:left="0"/>
    </w:pPr>
  </w:style>
  <w:style w:type="character" w:styleId="Hyperlink">
    <w:name w:val="Hyperlink"/>
    <w:basedOn w:val="DefaultParagraphFont"/>
    <w:uiPriority w:val="99"/>
    <w:unhideWhenUsed/>
    <w:rsid w:val="00080CED"/>
    <w:rPr>
      <w:color w:val="0563C1" w:themeColor="hyperlink"/>
      <w:u w:val="single"/>
    </w:rPr>
  </w:style>
  <w:style w:type="character" w:styleId="FollowedHyperlink">
    <w:name w:val="FollowedHyperlink"/>
    <w:basedOn w:val="DefaultParagraphFont"/>
    <w:uiPriority w:val="99"/>
    <w:semiHidden/>
    <w:unhideWhenUsed/>
    <w:rsid w:val="00870412"/>
    <w:rPr>
      <w:color w:val="954F72" w:themeColor="followedHyperlink"/>
      <w:u w:val="single"/>
    </w:rPr>
  </w:style>
  <w:style w:type="paragraph" w:styleId="PlainText">
    <w:name w:val="Plain Text"/>
    <w:basedOn w:val="Normal"/>
    <w:link w:val="PlainTextChar"/>
    <w:uiPriority w:val="99"/>
    <w:semiHidden/>
    <w:unhideWhenUsed/>
    <w:rsid w:val="009510C1"/>
    <w:pPr>
      <w:spacing w:before="0" w:after="0" w:line="240" w:lineRule="auto"/>
      <w:ind w:left="0"/>
    </w:pPr>
    <w:rPr>
      <w:rFonts w:ascii="Calibri" w:hAnsi="Calibri" w:cs="Times New Roman"/>
      <w:color w:val="004990"/>
      <w:szCs w:val="21"/>
      <w:lang w:eastAsia="en-US"/>
    </w:rPr>
  </w:style>
  <w:style w:type="character" w:customStyle="1" w:styleId="PlainTextChar">
    <w:name w:val="Plain Text Char"/>
    <w:basedOn w:val="DefaultParagraphFont"/>
    <w:link w:val="PlainText"/>
    <w:uiPriority w:val="99"/>
    <w:semiHidden/>
    <w:rsid w:val="009510C1"/>
    <w:rPr>
      <w:rFonts w:ascii="Calibri" w:eastAsia="Times New Roman" w:hAnsi="Calibri" w:cs="Times New Roman"/>
      <w:color w:val="004990"/>
      <w:szCs w:val="21"/>
      <w:lang w:val="en-US"/>
    </w:rPr>
  </w:style>
  <w:style w:type="character" w:styleId="CommentReference">
    <w:name w:val="annotation reference"/>
    <w:basedOn w:val="DefaultParagraphFont"/>
    <w:uiPriority w:val="99"/>
    <w:semiHidden/>
    <w:unhideWhenUsed/>
    <w:rsid w:val="00191D7E"/>
    <w:rPr>
      <w:sz w:val="16"/>
      <w:szCs w:val="16"/>
    </w:rPr>
  </w:style>
  <w:style w:type="paragraph" w:styleId="CommentText">
    <w:name w:val="annotation text"/>
    <w:basedOn w:val="Normal"/>
    <w:link w:val="CommentTextChar"/>
    <w:uiPriority w:val="99"/>
    <w:unhideWhenUsed/>
    <w:rsid w:val="00191D7E"/>
    <w:pPr>
      <w:spacing w:line="240" w:lineRule="auto"/>
    </w:pPr>
    <w:rPr>
      <w:sz w:val="20"/>
      <w:szCs w:val="20"/>
    </w:rPr>
  </w:style>
  <w:style w:type="character" w:customStyle="1" w:styleId="CommentTextChar">
    <w:name w:val="Comment Text Char"/>
    <w:basedOn w:val="DefaultParagraphFont"/>
    <w:link w:val="CommentText"/>
    <w:uiPriority w:val="99"/>
    <w:rsid w:val="00191D7E"/>
    <w:rPr>
      <w:rFonts w:eastAsia="Times New Roman" w:cstheme="minorHAnsi"/>
      <w:sz w:val="20"/>
      <w:szCs w:val="20"/>
      <w:lang w:val="en-US" w:eastAsia="en-CA"/>
    </w:rPr>
  </w:style>
  <w:style w:type="paragraph" w:styleId="CommentSubject">
    <w:name w:val="annotation subject"/>
    <w:basedOn w:val="CommentText"/>
    <w:next w:val="CommentText"/>
    <w:link w:val="CommentSubjectChar"/>
    <w:uiPriority w:val="99"/>
    <w:semiHidden/>
    <w:unhideWhenUsed/>
    <w:rsid w:val="00191D7E"/>
    <w:rPr>
      <w:b/>
      <w:bCs/>
    </w:rPr>
  </w:style>
  <w:style w:type="character" w:customStyle="1" w:styleId="CommentSubjectChar">
    <w:name w:val="Comment Subject Char"/>
    <w:basedOn w:val="CommentTextChar"/>
    <w:link w:val="CommentSubject"/>
    <w:uiPriority w:val="99"/>
    <w:semiHidden/>
    <w:rsid w:val="00191D7E"/>
    <w:rPr>
      <w:rFonts w:eastAsia="Times New Roman" w:cstheme="minorHAnsi"/>
      <w:b/>
      <w:bCs/>
      <w:sz w:val="20"/>
      <w:szCs w:val="20"/>
      <w:lang w:val="en-US" w:eastAsia="en-CA"/>
    </w:rPr>
  </w:style>
  <w:style w:type="paragraph" w:styleId="BalloonText">
    <w:name w:val="Balloon Text"/>
    <w:basedOn w:val="Normal"/>
    <w:link w:val="BalloonTextChar"/>
    <w:uiPriority w:val="99"/>
    <w:semiHidden/>
    <w:unhideWhenUsed/>
    <w:rsid w:val="00191D7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D7E"/>
    <w:rPr>
      <w:rFonts w:ascii="Segoe UI" w:eastAsia="Times New Roman" w:hAnsi="Segoe UI" w:cs="Segoe UI"/>
      <w:sz w:val="18"/>
      <w:szCs w:val="18"/>
      <w:lang w:val="en-US" w:eastAsia="en-CA"/>
    </w:rPr>
  </w:style>
  <w:style w:type="paragraph" w:styleId="Header">
    <w:name w:val="header"/>
    <w:basedOn w:val="Normal"/>
    <w:link w:val="HeaderChar"/>
    <w:uiPriority w:val="99"/>
    <w:unhideWhenUsed/>
    <w:rsid w:val="00DF6D1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F6D1E"/>
    <w:rPr>
      <w:rFonts w:eastAsia="Times New Roman" w:cstheme="minorHAnsi"/>
      <w:lang w:val="en-US" w:eastAsia="en-CA"/>
    </w:rPr>
  </w:style>
  <w:style w:type="paragraph" w:styleId="Footer">
    <w:name w:val="footer"/>
    <w:basedOn w:val="Normal"/>
    <w:link w:val="FooterChar"/>
    <w:uiPriority w:val="99"/>
    <w:unhideWhenUsed/>
    <w:rsid w:val="00DF6D1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F6D1E"/>
    <w:rPr>
      <w:rFonts w:eastAsia="Times New Roman" w:cstheme="minorHAnsi"/>
      <w:lang w:val="en-US" w:eastAsia="en-CA"/>
    </w:rPr>
  </w:style>
  <w:style w:type="character" w:styleId="IntenseEmphasis">
    <w:name w:val="Intense Emphasis"/>
    <w:basedOn w:val="DefaultParagraphFont"/>
    <w:uiPriority w:val="21"/>
    <w:qFormat/>
    <w:rsid w:val="0000699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92047">
      <w:bodyDiv w:val="1"/>
      <w:marLeft w:val="0"/>
      <w:marRight w:val="0"/>
      <w:marTop w:val="0"/>
      <w:marBottom w:val="0"/>
      <w:divBdr>
        <w:top w:val="none" w:sz="0" w:space="0" w:color="auto"/>
        <w:left w:val="none" w:sz="0" w:space="0" w:color="auto"/>
        <w:bottom w:val="none" w:sz="0" w:space="0" w:color="auto"/>
        <w:right w:val="none" w:sz="0" w:space="0" w:color="auto"/>
      </w:divBdr>
    </w:div>
    <w:div w:id="113024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icanada.ca/wp-content/uploads/who_is_my_clientv49bk1p36.pdf" TargetMode="External"/><Relationship Id="rId18" Type="http://schemas.openxmlformats.org/officeDocument/2006/relationships/hyperlink" Target="https://www.aicanada.ca/forms-templates/" TargetMode="External"/><Relationship Id="rId26" Type="http://schemas.openxmlformats.org/officeDocument/2006/relationships/hyperlink" Target="https://www.aicanada.ca/professional-liability/professional-excellence-bulletins/" TargetMode="External"/><Relationship Id="rId39" Type="http://schemas.openxmlformats.org/officeDocument/2006/relationships/hyperlink" Target="http://www.sauder.ubc.ca/Programs/Real_Estate_Division/Credit_Programs_and_Professional_Development_Courses/Professional_Development_Courses" TargetMode="External"/><Relationship Id="rId21" Type="http://schemas.openxmlformats.org/officeDocument/2006/relationships/hyperlink" Target="https://www.crea.ca/housing-market-stats/mls-home-price-index/hpi-tool/" TargetMode="External"/><Relationship Id="rId34" Type="http://schemas.openxmlformats.org/officeDocument/2006/relationships/hyperlink" Target="https://www.aicanada.ca/article/highest-and-best-use-analysis/" TargetMode="External"/><Relationship Id="rId42" Type="http://schemas.openxmlformats.org/officeDocument/2006/relationships/hyperlink" Target="https://www.appraisalfoundation.org/imis/docs/Valuation_Advisory_4_Identifying_Comparable_Properties_Upated_Final_09262013.pdf" TargetMode="External"/><Relationship Id="rId47" Type="http://schemas.openxmlformats.org/officeDocument/2006/relationships/hyperlink" Target="https://professional.sauder.ubc.ca/re_creditprogram/course_resources/courses/content/452/452_R1ARE10_chap10.pdf" TargetMode="External"/><Relationship Id="rId50" Type="http://schemas.openxmlformats.org/officeDocument/2006/relationships/hyperlink" Target="https://www.aicanada.ca/members-home/professional-practice-resources/professional-practice-resource-library/" TargetMode="External"/><Relationship Id="rId55" Type="http://schemas.openxmlformats.org/officeDocument/2006/relationships/footer" Target="footer1.xml"/><Relationship Id="rId7" Type="http://schemas.openxmlformats.org/officeDocument/2006/relationships/hyperlink" Target="https://www.aicanada.ca/members-home/professional-practice-resources/" TargetMode="External"/><Relationship Id="rId12" Type="http://schemas.openxmlformats.org/officeDocument/2006/relationships/hyperlink" Target="http://appraisal.softlinkliberty.net/liberty/libraryHome.do" TargetMode="External"/><Relationship Id="rId17" Type="http://schemas.openxmlformats.org/officeDocument/2006/relationships/hyperlink" Target="https://www.canlii.org/en/bc/bcsc/doc/2016/2016bcsc1582/2016bcsc1582.html" TargetMode="External"/><Relationship Id="rId25" Type="http://schemas.openxmlformats.org/officeDocument/2006/relationships/hyperlink" Target="https://www.aicanada.ca/professional-liability/professional-excellence-bulletins/" TargetMode="External"/><Relationship Id="rId33" Type="http://schemas.openxmlformats.org/officeDocument/2006/relationships/hyperlink" Target="https://www.aicanada.ca/article/shades-of-gray-highest-and-best-use/" TargetMode="External"/><Relationship Id="rId38" Type="http://schemas.openxmlformats.org/officeDocument/2006/relationships/hyperlink" Target="https://www.appraisalinstitute.org/assets/1/7/guide-note-11.pdf" TargetMode="External"/><Relationship Id="rId46" Type="http://schemas.openxmlformats.org/officeDocument/2006/relationships/hyperlink" Target="http://www.sauder.ubc.ca/Programs/Real_Estate_Division/Credit_Programs_and_Professional_Development_Courses/Professional_Development_Courses"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nlii.org/en/bc/bcsc/doc/2017/2017bcsc768/2017bcsc768.html" TargetMode="External"/><Relationship Id="rId20" Type="http://schemas.openxmlformats.org/officeDocument/2006/relationships/hyperlink" Target="http://creastats.crea.ca/treb/mls04_market.html" TargetMode="External"/><Relationship Id="rId29" Type="http://schemas.openxmlformats.org/officeDocument/2006/relationships/hyperlink" Target="https://www.aicanada.ca/forms-templates/" TargetMode="External"/><Relationship Id="rId41" Type="http://schemas.openxmlformats.org/officeDocument/2006/relationships/hyperlink" Target="https://aicexchange.ca/blog/part-ii-what-you-should-know-about-the-direct-comparison-approach-and-were-afraid-to-ask/"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icanada.ca/about-aic/canadian-property-valuation-magazine/" TargetMode="External"/><Relationship Id="rId24" Type="http://schemas.openxmlformats.org/officeDocument/2006/relationships/hyperlink" Target="https://www.aicanada.ca/professional-practice/measurement-practices/" TargetMode="External"/><Relationship Id="rId32" Type="http://schemas.openxmlformats.org/officeDocument/2006/relationships/hyperlink" Target="https://www.canlii.org/en/bc/bcsc/doc/2016/2016bcsc1582/2016bcsc1582.html" TargetMode="External"/><Relationship Id="rId37" Type="http://schemas.openxmlformats.org/officeDocument/2006/relationships/hyperlink" Target="https://aicexchange.ca/time-adjustments-why-the-average-mls-selling-price-should-not-be-taken-at-face-value/" TargetMode="External"/><Relationship Id="rId40" Type="http://schemas.openxmlformats.org/officeDocument/2006/relationships/hyperlink" Target="https://aicexchange.ca/blog/standardizing-the-direct-comparison-approach-part-1/" TargetMode="External"/><Relationship Id="rId45" Type="http://schemas.openxmlformats.org/officeDocument/2006/relationships/hyperlink" Target="https://www.appraisalinstitute.org/assets/1/7/self-audit_9_8_2017.pdf"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canlii.org/en/ab/abqb/doc/2016/2016abqb545/2016abqb545.html" TargetMode="External"/><Relationship Id="rId23" Type="http://schemas.openxmlformats.org/officeDocument/2006/relationships/hyperlink" Target="https://www.aicanada.ca/members-home/professional-practice-resources/professional-practice-resource-library/" TargetMode="External"/><Relationship Id="rId28" Type="http://schemas.openxmlformats.org/officeDocument/2006/relationships/hyperlink" Target="https://professional.sauder.ubc.ca/re_creditprogram/course_resources/courses/content/352/331_chapter06.pdf" TargetMode="External"/><Relationship Id="rId36" Type="http://schemas.openxmlformats.org/officeDocument/2006/relationships/hyperlink" Target="https://aicexchange.ca/blog/due-diligence-when-is-it-due/" TargetMode="External"/><Relationship Id="rId49" Type="http://schemas.openxmlformats.org/officeDocument/2006/relationships/hyperlink" Target="https://professional.sauder.ubc.ca/re_creditprogram/course_resources/courses/content/330/materials/R2B33013/R2B33013_lesson07.pdf" TargetMode="External"/><Relationship Id="rId57" Type="http://schemas.openxmlformats.org/officeDocument/2006/relationships/header" Target="header3.xml"/><Relationship Id="rId10" Type="http://schemas.openxmlformats.org/officeDocument/2006/relationships/hyperlink" Target="https://www.aicanada.ca/members-home/professional-practice-resources/communique-library/" TargetMode="External"/><Relationship Id="rId19" Type="http://schemas.openxmlformats.org/officeDocument/2006/relationships/hyperlink" Target="https://www.aicanada.ca/professional-liability/professional-excellence-bulletins/" TargetMode="External"/><Relationship Id="rId31" Type="http://schemas.openxmlformats.org/officeDocument/2006/relationships/hyperlink" Target="https://www.aicanada.ca/professional-liability/professional-excellence-bulletins/" TargetMode="External"/><Relationship Id="rId44" Type="http://schemas.openxmlformats.org/officeDocument/2006/relationships/image" Target="media/image1.png"/><Relationship Id="rId52" Type="http://schemas.openxmlformats.org/officeDocument/2006/relationships/hyperlink" Target="https://www.aicanada.ca/wp-content/uploads/CUSPAP-2018-Compliance-Checklist.pdf"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icanada.ca/peer-review-summaries/" TargetMode="External"/><Relationship Id="rId14" Type="http://schemas.openxmlformats.org/officeDocument/2006/relationships/hyperlink" Target="https://www.aicanada.ca/article/stay-out-of-trouble-part-ii/" TargetMode="External"/><Relationship Id="rId22" Type="http://schemas.openxmlformats.org/officeDocument/2006/relationships/hyperlink" Target="http://www.sauder.ubc.ca/Programs/Real_Estate_Division/Credit_Programs_and_Professional_Development_Courses/Professional_Development_Courses" TargetMode="External"/><Relationship Id="rId27" Type="http://schemas.openxmlformats.org/officeDocument/2006/relationships/hyperlink" Target="http://www.sauder.ubc.ca/Programs/Real_Estate_Division/Credit_Programs_and_Professional_Development_Courses/Professional_Development_Courses" TargetMode="External"/><Relationship Id="rId30" Type="http://schemas.openxmlformats.org/officeDocument/2006/relationships/hyperlink" Target="https://www.aicanada.ca/professional-liability/professional-excellence-bulletins/" TargetMode="External"/><Relationship Id="rId35" Type="http://schemas.openxmlformats.org/officeDocument/2006/relationships/hyperlink" Target="http://www.sauder.ubc.ca/Programs/Real_Estate_Division/Credit_Programs_and_Professional_Development_Courses/Professional_Development_Courses" TargetMode="External"/><Relationship Id="rId43" Type="http://schemas.openxmlformats.org/officeDocument/2006/relationships/hyperlink" Target="https://www.aicanada.ca/wp-content/uploads/CUSPAP-2018-Compliance-Checklist.pdf" TargetMode="External"/><Relationship Id="rId48" Type="http://schemas.openxmlformats.org/officeDocument/2006/relationships/hyperlink" Target="https://professional.sauder.ubc.ca/re_creditprogram/course_resources/courses/content/330/materials/R2B33013/R2B33013_lesson03.pdf" TargetMode="External"/><Relationship Id="rId56" Type="http://schemas.openxmlformats.org/officeDocument/2006/relationships/footer" Target="footer2.xml"/><Relationship Id="rId8" Type="http://schemas.openxmlformats.org/officeDocument/2006/relationships/hyperlink" Target="https://www.aicanada.ca/members-home/professional-practice-resources/professional-excellence-bulletins/" TargetMode="External"/><Relationship Id="rId51" Type="http://schemas.openxmlformats.org/officeDocument/2006/relationships/hyperlink" Target="https://www.aicanada.ca/members-home/professional-practice-resources/professional-excellence-bulletin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EB17C-F302-42B7-A975-6F7904AD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6558</Words>
  <Characters>37387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Schulkowsky</dc:creator>
  <cp:keywords/>
  <dc:description/>
  <cp:lastModifiedBy>Clemence Charruyer</cp:lastModifiedBy>
  <cp:revision>29</cp:revision>
  <dcterms:created xsi:type="dcterms:W3CDTF">2019-01-30T17:11:00Z</dcterms:created>
  <dcterms:modified xsi:type="dcterms:W3CDTF">2019-03-04T20:29:00Z</dcterms:modified>
</cp:coreProperties>
</file>