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AC" w:rsidRDefault="009441AC" w:rsidP="009441AC">
      <w:r>
        <w:t>Box 18.5.3</w:t>
      </w:r>
    </w:p>
    <w:p w:rsidR="009441AC" w:rsidRDefault="009441AC" w:rsidP="009441AC">
      <w:r>
        <w:t>Member letterhead</w:t>
      </w:r>
    </w:p>
    <w:p w:rsidR="009441AC" w:rsidRDefault="009441AC" w:rsidP="009441AC"/>
    <w:p w:rsidR="009441AC" w:rsidRDefault="009441AC" w:rsidP="009441AC">
      <w:r>
        <w:t>Date</w:t>
      </w:r>
    </w:p>
    <w:p w:rsidR="009441AC" w:rsidRDefault="009441AC" w:rsidP="009441AC"/>
    <w:p w:rsidR="009441AC" w:rsidRDefault="009441AC" w:rsidP="009441AC">
      <w:r>
        <w:t>Client Address</w:t>
      </w:r>
    </w:p>
    <w:p w:rsidR="009441AC" w:rsidRDefault="009441AC" w:rsidP="009441AC"/>
    <w:p w:rsidR="009441AC" w:rsidRDefault="009441AC" w:rsidP="009441AC">
      <w:r>
        <w:t xml:space="preserve">RE:  </w:t>
      </w:r>
      <w:r>
        <w:tab/>
        <w:t>LETTER OF ENGAGEMENT FOR THE PROPERTY IDENTIFIED AS: Property Address</w:t>
      </w:r>
    </w:p>
    <w:p w:rsidR="009441AC" w:rsidRDefault="009441AC" w:rsidP="009441AC">
      <w:r>
        <w:t xml:space="preserve">Further to your request on (date) to hire (Member name) to complete (describe service) of the above-referenced property, this letter of engagement is intended to outline the terms of the assignment.  </w:t>
      </w:r>
    </w:p>
    <w:p w:rsidR="009441AC" w:rsidRDefault="009441AC" w:rsidP="009441AC">
      <w:r>
        <w:t>CLIENT:  Identify client by name (e.g. “Bank A”)</w:t>
      </w:r>
    </w:p>
    <w:p w:rsidR="009441AC" w:rsidRDefault="009441AC" w:rsidP="009441AC">
      <w:r>
        <w:t>PURPOSE OF REPORT: To estimate (type of value, current, retrospective, prospective, update) market value</w:t>
      </w:r>
    </w:p>
    <w:p w:rsidR="009441AC" w:rsidRDefault="009441AC" w:rsidP="009441AC">
      <w:r>
        <w:t>INTENDED USE: The report can be relied upon for (state intended use “first mortgage financing only”).</w:t>
      </w:r>
    </w:p>
    <w:p w:rsidR="009441AC" w:rsidRDefault="009441AC" w:rsidP="009441AC">
      <w:r>
        <w:t>INTENDED USER: Identify the intended user by name if different than client; if the same, identify the intended by name along with the client above.  (e.g. “Bank A”)</w:t>
      </w:r>
    </w:p>
    <w:p w:rsidR="009441AC" w:rsidRDefault="009441AC" w:rsidP="009441AC">
      <w:r>
        <w:t xml:space="preserve">TERMS OF REFERENCE OF THE ASSIGNMENT: Describe the terms. </w:t>
      </w:r>
    </w:p>
    <w:p w:rsidR="009441AC" w:rsidRDefault="009441AC" w:rsidP="009441AC">
      <w:r>
        <w:t>INTERESTS CONSIDERED: Define interests appraised such as “Fee Simple”</w:t>
      </w:r>
    </w:p>
    <w:p w:rsidR="009441AC" w:rsidRDefault="009441AC" w:rsidP="009441AC">
      <w:r>
        <w:t xml:space="preserve">DATE OF VALUATION: Effective date of the appraisal will be (date). </w:t>
      </w:r>
    </w:p>
    <w:p w:rsidR="009441AC" w:rsidRDefault="009441AC" w:rsidP="009441AC">
      <w:r>
        <w:t xml:space="preserve">ACCESS TO PROPERTY: Describe if there are any limitations. </w:t>
      </w:r>
    </w:p>
    <w:p w:rsidR="009441AC" w:rsidRDefault="009441AC" w:rsidP="009441AC">
      <w:r>
        <w:t xml:space="preserve">HYPOTHETICAL CONDITIONS, EXTRAORDINARY ASSUMPTIONS AND LIMITING CONDITIONS: Define any specifics conditions, assumptions and limitations driven by the terms of the assignment. . </w:t>
      </w:r>
    </w:p>
    <w:p w:rsidR="009441AC" w:rsidRDefault="009441AC" w:rsidP="009441AC">
      <w:r>
        <w:t xml:space="preserve">CLIENT RESPONSIBILITIES:  Outline client responsibilities. For example, the client is to provide the author with the following data, provide access to the property, building plans, </w:t>
      </w:r>
      <w:proofErr w:type="gramStart"/>
      <w:r>
        <w:t>written</w:t>
      </w:r>
      <w:proofErr w:type="gramEnd"/>
      <w:r>
        <w:t xml:space="preserve"> consent from occupant for photographs and personal information, etc.  </w:t>
      </w:r>
    </w:p>
    <w:p w:rsidR="009441AC" w:rsidRDefault="009441AC" w:rsidP="009441AC">
      <w:r>
        <w:t xml:space="preserve">SCOPE OF THE ASSIGNMENT: The Scope of the appraisal encompasses the due diligence by the author (consistent with the terms of reference from the client, the purpose and intended use of the report) and the necessary research and analysis to prepare a report in accordance with the Canadian Uniform Standards of Professional Practice of the Appraisal Institute of Canada.  The following describe the extent of the process of collecting, confirming and reporting data and its analysis, describe relevant </w:t>
      </w:r>
      <w:r>
        <w:lastRenderedPageBreak/>
        <w:t xml:space="preserve">procedures and reasoning details supporting the analysis, and provide the reason for the exclusion of any valuation procedures:   (Describe the scope). </w:t>
      </w:r>
    </w:p>
    <w:p w:rsidR="009441AC" w:rsidRDefault="009441AC" w:rsidP="009441AC">
      <w:r>
        <w:t xml:space="preserve">TYPE OF REPORT: Form, short narrative, comprehensive </w:t>
      </w:r>
    </w:p>
    <w:p w:rsidR="009441AC" w:rsidRDefault="009441AC" w:rsidP="009441AC">
      <w:r>
        <w:t xml:space="preserve">FEE/RETAINER: The fee for this report is $X plus (applicable taxes).  Add any terms such as for example “Due to the scope of the work involved for this assignment, X% of the fee (that being $XX plus applicable taxes) is payable on signing this letter, the balance due before final report is released (or as defined).”    </w:t>
      </w:r>
    </w:p>
    <w:p w:rsidR="009441AC" w:rsidRDefault="009441AC" w:rsidP="009441AC">
      <w:r>
        <w:t>TIME FOR DELIVERY OF REPORT: (State time frame) from receiving this signed Letter of Engagement.</w:t>
      </w:r>
    </w:p>
    <w:p w:rsidR="009441AC" w:rsidRDefault="009441AC" w:rsidP="009441AC">
      <w:r>
        <w:t>DELIVERY FORMAT: Number of paper copies, where final report is to be delivered, etc.</w:t>
      </w:r>
    </w:p>
    <w:p w:rsidR="009441AC" w:rsidRDefault="009441AC" w:rsidP="009441AC">
      <w:r>
        <w:t>AMENDMENTS: Provisions for contract amendments, reliance letters, litigation, etc.</w:t>
      </w:r>
    </w:p>
    <w:p w:rsidR="009441AC" w:rsidRDefault="009441AC" w:rsidP="009441AC"/>
    <w:p w:rsidR="009441AC" w:rsidRDefault="009441AC" w:rsidP="009441AC">
      <w:r>
        <w:t>_______________________________</w:t>
      </w:r>
      <w:r>
        <w:tab/>
        <w:t>Date: _________________________</w:t>
      </w:r>
    </w:p>
    <w:p w:rsidR="009441AC" w:rsidRDefault="009441AC" w:rsidP="009441AC">
      <w:r>
        <w:t xml:space="preserve">Member name and designation </w:t>
      </w:r>
    </w:p>
    <w:p w:rsidR="009441AC" w:rsidRDefault="009441AC" w:rsidP="009441AC"/>
    <w:p w:rsidR="009441AC" w:rsidRDefault="009441AC" w:rsidP="009441AC">
      <w:r>
        <w:t>________________________________</w:t>
      </w:r>
      <w:r>
        <w:tab/>
        <w:t>Date: __________________________</w:t>
      </w:r>
    </w:p>
    <w:p w:rsidR="000F2076" w:rsidRDefault="009441AC" w:rsidP="009441AC">
      <w:r>
        <w:t>Client name</w:t>
      </w:r>
    </w:p>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Default="001765FB" w:rsidP="009441AC"/>
    <w:p w:rsidR="001765FB" w:rsidRPr="004253BE" w:rsidRDefault="001765FB" w:rsidP="001765FB">
      <w:pPr>
        <w:jc w:val="center"/>
        <w:rPr>
          <w:rFonts w:cstheme="minorHAnsi"/>
          <w:b/>
          <w:sz w:val="32"/>
          <w:szCs w:val="16"/>
        </w:rPr>
      </w:pPr>
      <w:r>
        <w:rPr>
          <w:rFonts w:cstheme="minorHAnsi"/>
          <w:b/>
          <w:sz w:val="32"/>
          <w:szCs w:val="16"/>
        </w:rPr>
        <w:lastRenderedPageBreak/>
        <w:t>M</w:t>
      </w:r>
      <w:bookmarkStart w:id="0" w:name="_GoBack"/>
      <w:bookmarkEnd w:id="0"/>
      <w:r>
        <w:rPr>
          <w:rFonts w:cstheme="minorHAnsi"/>
          <w:b/>
          <w:sz w:val="32"/>
          <w:szCs w:val="16"/>
        </w:rPr>
        <w:t>ANDATORY CLAUSES</w:t>
      </w:r>
    </w:p>
    <w:p w:rsidR="001765FB" w:rsidRDefault="001765FB" w:rsidP="001765FB">
      <w:pPr>
        <w:rPr>
          <w:rFonts w:ascii="ArialNarrow" w:hAnsi="ArialNarrow" w:cs="ArialNarrow"/>
          <w:sz w:val="16"/>
          <w:szCs w:val="16"/>
        </w:rPr>
      </w:pPr>
    </w:p>
    <w:p w:rsidR="001765FB" w:rsidRPr="004935EF" w:rsidRDefault="001765FB" w:rsidP="001765FB">
      <w:pPr>
        <w:rPr>
          <w:rFonts w:ascii="ArialNarrow" w:hAnsi="ArialNarrow" w:cs="ArialNarrow"/>
          <w:b/>
          <w:szCs w:val="16"/>
        </w:rPr>
      </w:pPr>
      <w:r w:rsidRPr="004935EF">
        <w:rPr>
          <w:rFonts w:ascii="ArialNarrow" w:hAnsi="ArialNarrow" w:cs="ArialNarrow"/>
          <w:b/>
          <w:szCs w:val="16"/>
        </w:rPr>
        <w:t>ASSUMPTIONS, LIMITING CONDITIONS, DISCLAIMERS AND LIMITATIONS OF LIABILITY</w:t>
      </w:r>
    </w:p>
    <w:p w:rsidR="001765FB" w:rsidRPr="004935EF" w:rsidRDefault="001765FB" w:rsidP="001765FB">
      <w:pPr>
        <w:widowControl w:val="0"/>
        <w:spacing w:before="120" w:after="120" w:line="320" w:lineRule="exact"/>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The certification that appears in this report is subject to compliance with the Personal Information and Electronics Documents Act (PIPEDA), Canadian Uniform Standards of Professional Appraisal Practice (“CUSPAP”) and the following conditions:</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 xml:space="preserve">This report is prepared only for the client and authorized users specifically identified in this report and only for the specific use identified herein.  No other person may rely on this report or any part of this report without first obtaining consent from the client and written authorization from the authors.  Liability is expressly denied to any other person and, accordingly, no responsibility is accepted for any damage suffered by any other person as a result of decisions made or actions taken based on this report.  Liability is expressly denied for any unauthorized user or for anyone who uses this report for any use not specifically identified in this report.  Payment of the appraisal fee has no effect on liability.  Reliance on this report without authorization or for an unauthorized use is unreasonable.  </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Because market conditions, including economic, social and political factors, may change rapidly and, on occasion, without warning, this report cannot be relied upon as of any date other than the effective date specified in this report unless specifically authorized by the author(s).</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 xml:space="preserve">The author will not be responsible for matters of a legal nature that affect either the property being appraised or the title to it. The property is appraised on the basis of it being under responsible ownership. No registry office search has been performed and the author assumes that the title is good and marketable and free and clear of all encumbrances. Matters of a legal nature, including confirming who holds legal title to the appraised property or any portion of the appraised property, are outside the scope of work and expertise of the appraiser. Any information regarding the identity of a property’s owner or identifying the property owned by the listed client and/or applicant provided by the appraiser is for informational purposes only and any reliance on such information is unreasonable. Any information provided by the appraiser does not constitute any title confirmation. Any information provided does not negate the need to retain a real estate lawyer, surveyor or other appropriate experts to verify matters of ownership and/or title. </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 xml:space="preserve">Verification of compliance with governmental regulations, bylaws or statutes is outside the scope of work and expertise of the appraiser. Any information provided by the appraiser is for informational purposes only and any reliance is unreasonable. Any information provided by the appraiser does not negate the need to retain an appropriately qualified professional to determine government regulation compliance. </w:t>
      </w:r>
    </w:p>
    <w:p w:rsidR="001765FB" w:rsidRPr="004935EF" w:rsidDel="00885D7B"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sidDel="00885D7B">
        <w:rPr>
          <w:rFonts w:eastAsia="Times New Roman" w:cstheme="minorHAnsi"/>
          <w:color w:val="000000"/>
          <w:kern w:val="28"/>
          <w:sz w:val="24"/>
          <w:szCs w:val="24"/>
          <w14:cntxtAlts/>
        </w:rPr>
        <w:lastRenderedPageBreak/>
        <w:t xml:space="preserve">No survey of the property has been made. </w:t>
      </w:r>
      <w:r w:rsidRPr="004935EF">
        <w:rPr>
          <w:rFonts w:eastAsia="Times New Roman" w:cstheme="minorHAnsi"/>
          <w:color w:val="000000"/>
          <w:kern w:val="28"/>
          <w:sz w:val="24"/>
          <w:szCs w:val="24"/>
          <w14:cntxtAlts/>
        </w:rPr>
        <w:t xml:space="preserve"> </w:t>
      </w:r>
      <w:r w:rsidRPr="004935EF" w:rsidDel="00885D7B">
        <w:rPr>
          <w:rFonts w:eastAsia="Times New Roman" w:cstheme="minorHAnsi"/>
          <w:color w:val="000000"/>
          <w:kern w:val="28"/>
          <w:sz w:val="24"/>
          <w:szCs w:val="24"/>
          <w14:cntxtAlts/>
        </w:rPr>
        <w:t>Any sketch in th</w:t>
      </w:r>
      <w:r w:rsidRPr="004935EF">
        <w:rPr>
          <w:rFonts w:eastAsia="Times New Roman" w:cstheme="minorHAnsi"/>
          <w:color w:val="000000"/>
          <w:kern w:val="28"/>
          <w:sz w:val="24"/>
          <w:szCs w:val="24"/>
          <w14:cntxtAlts/>
        </w:rPr>
        <w:t>is</w:t>
      </w:r>
      <w:r w:rsidRPr="004935EF" w:rsidDel="00885D7B">
        <w:rPr>
          <w:rFonts w:eastAsia="Times New Roman" w:cstheme="minorHAnsi"/>
          <w:color w:val="000000"/>
          <w:kern w:val="28"/>
          <w:sz w:val="24"/>
          <w:szCs w:val="24"/>
          <w14:cntxtAlts/>
        </w:rPr>
        <w:t xml:space="preserve"> report shows approximate dimensions and is included only to assist the reader of th</w:t>
      </w:r>
      <w:r w:rsidRPr="004935EF">
        <w:rPr>
          <w:rFonts w:eastAsia="Times New Roman" w:cstheme="minorHAnsi"/>
          <w:color w:val="000000"/>
          <w:kern w:val="28"/>
          <w:sz w:val="24"/>
          <w:szCs w:val="24"/>
          <w14:cntxtAlts/>
        </w:rPr>
        <w:t>is</w:t>
      </w:r>
      <w:r w:rsidRPr="004935EF" w:rsidDel="00885D7B">
        <w:rPr>
          <w:rFonts w:eastAsia="Times New Roman" w:cstheme="minorHAnsi"/>
          <w:color w:val="000000"/>
          <w:kern w:val="28"/>
          <w:sz w:val="24"/>
          <w:szCs w:val="24"/>
          <w14:cntxtAlts/>
        </w:rPr>
        <w:t xml:space="preserve"> report in visualizing the property.</w:t>
      </w:r>
      <w:r w:rsidRPr="004935EF">
        <w:rPr>
          <w:rFonts w:eastAsia="Times New Roman" w:cstheme="minorHAnsi"/>
          <w:color w:val="000000"/>
          <w:kern w:val="28"/>
          <w:sz w:val="24"/>
          <w:szCs w:val="24"/>
          <w14:cntxtAlts/>
        </w:rPr>
        <w:t xml:space="preserve">  It is unreasonable to rely on this report as an alternative to a survey, and an accredited surveyor ought to be retained for such matters.</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This report is completed on the basis that testimony or appearance in court concerning this report is not required unless specific arrangements to do so have been made beforehand.  Such arrangements will include, but not necessarily be limited to: adequate time to review the report and related data, and the provision of appropriate compensation.</w:t>
      </w:r>
    </w:p>
    <w:p w:rsidR="001765FB"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Unless otherwise stated in this report, the author has no knowledge of any hidden or unapparent conditions (including, but not limited to: its soils, physical structure, mechanical or other operating systems, foundation, etc.) of/on the subject property</w:t>
      </w:r>
      <w:r w:rsidRPr="004935EF" w:rsidDel="00C46747">
        <w:rPr>
          <w:rFonts w:eastAsia="Times New Roman" w:cstheme="minorHAnsi"/>
          <w:color w:val="000000"/>
          <w:kern w:val="28"/>
          <w:sz w:val="24"/>
          <w:szCs w:val="24"/>
          <w14:cntxtAlts/>
        </w:rPr>
        <w:t xml:space="preserve"> </w:t>
      </w:r>
      <w:r w:rsidRPr="004935EF">
        <w:rPr>
          <w:rFonts w:eastAsia="Times New Roman" w:cstheme="minorHAnsi"/>
          <w:color w:val="000000"/>
          <w:kern w:val="28"/>
          <w:sz w:val="24"/>
          <w:szCs w:val="24"/>
          <w14:cntxtAlts/>
        </w:rPr>
        <w:t xml:space="preserve">or of/on a </w:t>
      </w:r>
      <w:proofErr w:type="spellStart"/>
      <w:r w:rsidRPr="004935EF">
        <w:rPr>
          <w:rFonts w:eastAsia="Times New Roman" w:cstheme="minorHAnsi"/>
          <w:color w:val="000000"/>
          <w:kern w:val="28"/>
          <w:sz w:val="24"/>
          <w:szCs w:val="24"/>
          <w14:cntxtAlts/>
        </w:rPr>
        <w:t>neighbouring</w:t>
      </w:r>
      <w:proofErr w:type="spellEnd"/>
      <w:r w:rsidRPr="004935EF">
        <w:rPr>
          <w:rFonts w:eastAsia="Times New Roman" w:cstheme="minorHAnsi"/>
          <w:color w:val="000000"/>
          <w:kern w:val="28"/>
          <w:sz w:val="24"/>
          <w:szCs w:val="24"/>
          <w14:cntxtAlts/>
        </w:rPr>
        <w:t xml:space="preserve"> property that could affect the value of the subject property.  It has been assumed that there are no such conditions.  Any such conditions that were visibly apparent at the time of inspection or that became apparent during the normal research involved in completing the report have been noted in the report.  This report should not be construed as an environmental audit or detailed property condition report, as such reporting is beyond the scope of this report and/or the qualifications of the author.  The author makes no guarantees or warranties, express or implied, regarding the condition of the property, and will not be responsible for any such conditions that do exist or for any engineering or testing that might be required to discover whether such conditions exist.  The bearing capacity of the soil is assumed to be adequate.  </w:t>
      </w:r>
    </w:p>
    <w:p w:rsidR="001765FB" w:rsidRPr="00F37D79"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F37D79">
        <w:rPr>
          <w:rFonts w:eastAsia="Times New Roman" w:cstheme="minorHAnsi"/>
          <w:color w:val="000000"/>
          <w:kern w:val="28"/>
          <w:sz w:val="24"/>
          <w:szCs w:val="24"/>
          <w:lang w:val="en-CA"/>
          <w14:cntxtAlts/>
        </w:rPr>
        <w:t>The author is not qualified to comment on detrimental environmental, chemical or biological conditions that may affect the market value of the property appraised, including but not limited to pollution or contamination of land, buildings, water, groundwater or air which may include but are not limited to moulds and mildews or the conditions that may give rise to either. Any such conditions that were visibly apparent at the time of inspection or that became apparent during the normal research involved in completing the report have been noted in the report. It is an assumption of this report that the property complies with all regulatory requirements concerning environmental, chemical and biological matters, and it is assumed that the property is free of any detrimental environmental, chemical legal and biological conditions that may affect the market value of the property appraised. If a party relying on this report requires information about or an assessment of detrimental environmental, chemical or biological conditions that may impact the value conclusion herein, that party is advised to retain an expert qualified in such matters. The author expressly denies any legal liability related to the effect of detrimental environmental, chemical or biological matters on the market value of the property.</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 xml:space="preserve">The analyses set out in this report relied on written and verbal information obtained from a </w:t>
      </w:r>
      <w:r w:rsidRPr="004935EF">
        <w:rPr>
          <w:rFonts w:eastAsia="Times New Roman" w:cstheme="minorHAnsi"/>
          <w:color w:val="000000"/>
          <w:kern w:val="28"/>
          <w:sz w:val="24"/>
          <w:szCs w:val="24"/>
          <w14:cntxtAlts/>
        </w:rPr>
        <w:lastRenderedPageBreak/>
        <w:t xml:space="preserve">variety of sources the author considered reliable.  Unless otherwise stated herein, the author did not verify client-supplied information, which the author believed to be correct.  </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The term “inspection” refers to observation only as defined by CUSPAP and reporting of the general material finishing and conditions observed for the purposes of a standard appraisal inspection.  The inspection scope of work includes the identification of marketable characteristics/amenities offered for comparison and valuation purposes only.</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 xml:space="preserve">The opinions of value and other conclusions contained herein assume satisfactory completion of any work remaining to be completed in a good and workmanlike manner.  Further inspection may be required to confirm completion of such work.  The author has not confirmed that all mandatory building inspections have been completed to date, nor has the availability/issuance of an occupancy permit been confirmed.  The author has not evaluated the quality of construction, workmanship or materials.  It should be clearly understood that this visual inspection does not imply compliance with any building code requirements as this is beyond the professional expertise of the author. </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 xml:space="preserve">The contents of this report are confidential and will not be disclosed by the author to any party except as provided for by the provisions of the CUSPAP and/or when properly entered into evidence of a duly qualified judicial or quasi-judicial body.  </w:t>
      </w:r>
      <w:r w:rsidRPr="004935EF">
        <w:rPr>
          <w:rFonts w:eastAsia="Times New Roman" w:cstheme="minorHAnsi"/>
          <w:color w:val="000000"/>
          <w:kern w:val="28"/>
          <w:sz w:val="24"/>
          <w:szCs w:val="24"/>
          <w:lang w:val="en-CA"/>
          <w14:cntxtAlts/>
        </w:rPr>
        <w:t>The author acknowledges that the information collected herein is personal and confidential and shall not use or disclose the contents of this report except as provided for in the provisions of the CUSPAP and in accordance with the author’s privacy policy.  The client agrees that in accepting this report, it shall maintain the confidentiality and privacy of any personal information contained herein and shall comply in all material respects with the contents of the author's privacy policy and in accordance with the PIPEDA.</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The author has agreed to enter into the assignment as requested by the client named in this report for the use specified by the client, which is stated in this report.  The client has agreed that the performance of this report and the format are appropriate for the intended use.</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 xml:space="preserve">This report, its content and all attachments/addendums and their content are the property of the author.  The client, authorized users and any appraisal facilitator are prohibited, strictly forbidden, and no permission is expressly or implicitly granted or deemed to be granted, to modify, alter, merge, publish (in whole or in part) screen scrape, database scrape, exploit, reproduce, decompile, reassemble or participate in any other activity intended to separate, collect, store, reorganize, scan, copy, manipulate electronically, digitally, manually or by any other means whatsoever this appraisal report, addendum, all attachments and the data contained within for any commercial, or other, use. </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lang w:val="en-CA"/>
          <w14:cntxtAlts/>
        </w:rPr>
        <w:t xml:space="preserve">If transmitted electronically, this report will have been digitally signed and secured with personal passwords to lock the appraisal file.  Due to the possibility of digital modification, only originally signed reports and those reports sent directly by the author can be reasonably </w:t>
      </w:r>
      <w:r w:rsidRPr="004935EF">
        <w:rPr>
          <w:rFonts w:eastAsia="Times New Roman" w:cstheme="minorHAnsi"/>
          <w:color w:val="000000"/>
          <w:kern w:val="28"/>
          <w:sz w:val="24"/>
          <w:szCs w:val="24"/>
          <w:lang w:val="en-CA"/>
          <w14:cntxtAlts/>
        </w:rPr>
        <w:lastRenderedPageBreak/>
        <w:t>relied upon</w:t>
      </w:r>
      <w:r w:rsidRPr="004935EF">
        <w:rPr>
          <w:rFonts w:eastAsia="Times New Roman" w:cstheme="minorHAnsi"/>
          <w:color w:val="000000"/>
          <w:kern w:val="28"/>
          <w:sz w:val="24"/>
          <w:szCs w:val="24"/>
          <w14:cntxtAlts/>
        </w:rPr>
        <w:t>.</w:t>
      </w:r>
    </w:p>
    <w:p w:rsidR="001765FB" w:rsidRPr="004935EF" w:rsidRDefault="001765FB" w:rsidP="001765FB">
      <w:pPr>
        <w:widowControl w:val="0"/>
        <w:numPr>
          <w:ilvl w:val="0"/>
          <w:numId w:val="1"/>
        </w:numPr>
        <w:spacing w:before="120" w:after="120" w:line="320" w:lineRule="exact"/>
        <w:ind w:left="360"/>
        <w:contextualSpacing/>
        <w:jc w:val="both"/>
        <w:rPr>
          <w:rFonts w:eastAsia="Times New Roman" w:cstheme="minorHAnsi"/>
          <w:color w:val="000000"/>
          <w:kern w:val="28"/>
          <w:sz w:val="24"/>
          <w:szCs w:val="24"/>
          <w14:cntxtAlts/>
        </w:rPr>
      </w:pPr>
      <w:r w:rsidRPr="004935EF">
        <w:rPr>
          <w:rFonts w:eastAsia="Times New Roman" w:cstheme="minorHAnsi"/>
          <w:color w:val="000000"/>
          <w:kern w:val="28"/>
          <w:sz w:val="24"/>
          <w:szCs w:val="24"/>
          <w14:cntxtAlts/>
        </w:rPr>
        <w:t xml:space="preserve">This report form is the property of the Appraisal Institute of Canada (AIC) and for use only by AIC members in good standing.  Use by any other person is a violation of AIC copyright. </w:t>
      </w:r>
    </w:p>
    <w:p w:rsidR="001765FB" w:rsidRDefault="001765FB" w:rsidP="001765FB">
      <w:pPr>
        <w:pStyle w:val="ListParagraph"/>
        <w:widowControl w:val="0"/>
        <w:numPr>
          <w:ilvl w:val="0"/>
          <w:numId w:val="1"/>
        </w:numPr>
        <w:ind w:left="360"/>
        <w:jc w:val="both"/>
        <w:rPr>
          <w:rFonts w:cstheme="minorHAnsi"/>
          <w:color w:val="000000"/>
          <w:kern w:val="28"/>
          <w14:cntxtAlts/>
        </w:rPr>
      </w:pPr>
      <w:r w:rsidRPr="00864718">
        <w:rPr>
          <w:rFonts w:cstheme="minorHAnsi"/>
          <w:color w:val="000000"/>
          <w:kern w:val="28"/>
          <w14:cntxtAlts/>
        </w:rPr>
        <w:t xml:space="preserve">Where the intended use of this report is for financing or mortgage lending or mortgage insurance, it is a condition of reliance on this report that the authorized user has or will conduct lending, underwriting and insurance underwriting and rigorous due diligence in accordance with the standards of a reasonable and prudent lender or insurer, including but not limited to ensuring the borrower’s demonstrated willingness and capacity to service his/her debt obligations on a timely basis, and to conduct loan underwriting or insuring due diligence </w:t>
      </w:r>
      <w:r>
        <w:rPr>
          <w:rFonts w:cstheme="minorHAnsi"/>
          <w:color w:val="000000"/>
          <w:kern w:val="28"/>
          <w14:cntxtAlts/>
        </w:rPr>
        <w:t>similar to</w:t>
      </w:r>
      <w:r w:rsidRPr="00864718">
        <w:rPr>
          <w:rFonts w:cstheme="minorHAnsi"/>
          <w:color w:val="000000"/>
          <w:kern w:val="28"/>
          <w14:cntxtAlts/>
        </w:rPr>
        <w:t xml:space="preserve"> the standards set out by the Office of the Superintendent o</w:t>
      </w:r>
      <w:r>
        <w:rPr>
          <w:rFonts w:cstheme="minorHAnsi"/>
          <w:color w:val="000000"/>
          <w:kern w:val="28"/>
          <w14:cntxtAlts/>
        </w:rPr>
        <w:t>f Financial Institutions (OSFI)</w:t>
      </w:r>
      <w:r w:rsidRPr="00864718">
        <w:rPr>
          <w:rFonts w:cstheme="minorHAnsi"/>
          <w:color w:val="000000"/>
          <w:kern w:val="28"/>
          <w14:cntxtAlts/>
        </w:rPr>
        <w:t>, even when not otherwise required by law.  Liability is expressly denied to those that do not meet this condition</w:t>
      </w:r>
      <w:r>
        <w:rPr>
          <w:rFonts w:cstheme="minorHAnsi"/>
          <w:color w:val="000000"/>
          <w:kern w:val="28"/>
          <w14:cntxtAlts/>
        </w:rPr>
        <w:t>.  Any reliance on this report without satisfaction of this condition is unreasonable</w:t>
      </w:r>
      <w:r w:rsidRPr="00864718">
        <w:rPr>
          <w:rFonts w:cstheme="minorHAnsi"/>
          <w:color w:val="000000"/>
          <w:kern w:val="28"/>
          <w14:cntxtAlts/>
        </w:rPr>
        <w:t>.</w:t>
      </w:r>
    </w:p>
    <w:p w:rsidR="001765FB" w:rsidRDefault="001765FB" w:rsidP="009441AC"/>
    <w:sectPr w:rsidR="001765FB" w:rsidSect="006155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7C" w:rsidRDefault="0063437C" w:rsidP="00A86CFE">
      <w:pPr>
        <w:spacing w:after="0" w:line="240" w:lineRule="auto"/>
      </w:pPr>
      <w:r>
        <w:separator/>
      </w:r>
    </w:p>
  </w:endnote>
  <w:endnote w:type="continuationSeparator" w:id="0">
    <w:p w:rsidR="0063437C" w:rsidRDefault="0063437C" w:rsidP="00A8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79" w:rsidRDefault="006155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FE" w:rsidRDefault="00A86CFE" w:rsidP="00A86CFE">
    <w:pPr>
      <w:pStyle w:val="Footer"/>
      <w:jc w:val="center"/>
    </w:pPr>
  </w:p>
  <w:p w:rsidR="00A86CFE" w:rsidRPr="00615579" w:rsidRDefault="00A86CFE" w:rsidP="00A86CFE">
    <w:pPr>
      <w:pStyle w:val="Footer"/>
      <w:jc w:val="center"/>
      <w:rPr>
        <w:b/>
        <w:i/>
      </w:rPr>
    </w:pPr>
    <w:r w:rsidRPr="00615579">
      <w:rPr>
        <w:b/>
        <w:i/>
      </w:rPr>
      <w:t>Appraisal Institute of Canada</w:t>
    </w:r>
    <w:r w:rsidR="00615579" w:rsidRPr="00615579">
      <w:rPr>
        <w:b/>
        <w:i/>
      </w:rPr>
      <w:t xml:space="preserve"> ©</w:t>
    </w:r>
    <w:r w:rsidRPr="00615579">
      <w:rPr>
        <w:b/>
        <w:i/>
      </w:rPr>
      <w:t xml:space="preserve"> – Effective January 1, 2018</w:t>
    </w:r>
  </w:p>
  <w:p w:rsidR="00A86CFE" w:rsidRPr="00A86CFE" w:rsidRDefault="00A86CFE" w:rsidP="00A86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79" w:rsidRDefault="00615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7C" w:rsidRDefault="0063437C" w:rsidP="00A86CFE">
      <w:pPr>
        <w:spacing w:after="0" w:line="240" w:lineRule="auto"/>
      </w:pPr>
      <w:r>
        <w:separator/>
      </w:r>
    </w:p>
  </w:footnote>
  <w:footnote w:type="continuationSeparator" w:id="0">
    <w:p w:rsidR="0063437C" w:rsidRDefault="0063437C" w:rsidP="00A86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79" w:rsidRDefault="00615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79" w:rsidRDefault="00615579" w:rsidP="00A86CFE">
    <w:pPr>
      <w:pStyle w:val="Header"/>
      <w:jc w:val="center"/>
      <w:rPr>
        <w:b/>
        <w:sz w:val="24"/>
      </w:rPr>
    </w:pPr>
    <w:r>
      <w:rPr>
        <w:b/>
        <w:noProof/>
        <w:sz w:val="24"/>
      </w:rPr>
      <w:drawing>
        <wp:inline distT="0" distB="0" distL="0" distR="0" wp14:anchorId="7A175582" wp14:editId="6C3848DF">
          <wp:extent cx="2190750" cy="455002"/>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C_BI_E_hor_3c_RGB.jpg"/>
                  <pic:cNvPicPr/>
                </pic:nvPicPr>
                <pic:blipFill>
                  <a:blip r:embed="rId1">
                    <a:extLst>
                      <a:ext uri="{28A0092B-C50C-407E-A947-70E740481C1C}">
                        <a14:useLocalDpi xmlns:a14="http://schemas.microsoft.com/office/drawing/2010/main" val="0"/>
                      </a:ext>
                    </a:extLst>
                  </a:blip>
                  <a:stretch>
                    <a:fillRect/>
                  </a:stretch>
                </pic:blipFill>
                <pic:spPr>
                  <a:xfrm>
                    <a:off x="0" y="0"/>
                    <a:ext cx="2241984" cy="465643"/>
                  </a:xfrm>
                  <a:prstGeom prst="rect">
                    <a:avLst/>
                  </a:prstGeom>
                </pic:spPr>
              </pic:pic>
            </a:graphicData>
          </a:graphic>
        </wp:inline>
      </w:drawing>
    </w:r>
  </w:p>
  <w:p w:rsidR="00615579" w:rsidRDefault="00615579" w:rsidP="00A86CFE">
    <w:pPr>
      <w:pStyle w:val="Header"/>
      <w:jc w:val="center"/>
      <w:rPr>
        <w:b/>
        <w:sz w:val="24"/>
      </w:rPr>
    </w:pPr>
  </w:p>
  <w:p w:rsidR="00A86CFE" w:rsidRPr="00A86CFE" w:rsidRDefault="00A86CFE" w:rsidP="00A86CFE">
    <w:pPr>
      <w:pStyle w:val="Header"/>
      <w:jc w:val="center"/>
      <w:rPr>
        <w:b/>
        <w:sz w:val="24"/>
      </w:rPr>
    </w:pPr>
    <w:r w:rsidRPr="00A86CFE">
      <w:rPr>
        <w:b/>
        <w:sz w:val="24"/>
      </w:rPr>
      <w:t xml:space="preserve">CUSPAP 2018 – </w:t>
    </w:r>
    <w:r w:rsidR="00615579">
      <w:rPr>
        <w:b/>
        <w:sz w:val="24"/>
      </w:rPr>
      <w:t>TEMPLATE</w:t>
    </w:r>
  </w:p>
  <w:p w:rsidR="00A86CFE" w:rsidRDefault="00A86CFE" w:rsidP="00615579">
    <w:pPr>
      <w:pStyle w:val="Header"/>
      <w:jc w:val="center"/>
      <w:rPr>
        <w:b/>
        <w:sz w:val="24"/>
      </w:rPr>
    </w:pPr>
    <w:r w:rsidRPr="00A86CFE">
      <w:rPr>
        <w:b/>
        <w:sz w:val="24"/>
      </w:rPr>
      <w:t>LETTER OF ENGAGEMENT</w:t>
    </w:r>
  </w:p>
  <w:p w:rsidR="00615579" w:rsidRPr="00A86CFE" w:rsidRDefault="00615579" w:rsidP="00615579">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79" w:rsidRDefault="006155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2A1F"/>
    <w:multiLevelType w:val="hybridMultilevel"/>
    <w:tmpl w:val="3140BA2A"/>
    <w:lvl w:ilvl="0" w:tplc="1009000F">
      <w:start w:val="1"/>
      <w:numFmt w:val="decimal"/>
      <w:lvlText w:val="%1."/>
      <w:lvlJc w:val="left"/>
      <w:pPr>
        <w:ind w:left="0" w:hanging="360"/>
      </w:pPr>
      <w:rPr>
        <w:rFonts w:hint="default"/>
      </w:rPr>
    </w:lvl>
    <w:lvl w:ilvl="1" w:tplc="736C884E">
      <w:start w:val="1"/>
      <w:numFmt w:val="decimal"/>
      <w:lvlText w:val="%2."/>
      <w:lvlJc w:val="left"/>
      <w:pPr>
        <w:ind w:left="720" w:hanging="360"/>
      </w:pPr>
      <w:rPr>
        <w:rFonts w:hint="default"/>
      </w:r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AC"/>
    <w:rsid w:val="000F2076"/>
    <w:rsid w:val="001765FB"/>
    <w:rsid w:val="00615579"/>
    <w:rsid w:val="0063437C"/>
    <w:rsid w:val="009441AC"/>
    <w:rsid w:val="00A8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6986E5-EA00-4BA9-9561-2A154D9A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CFE"/>
  </w:style>
  <w:style w:type="paragraph" w:styleId="Footer">
    <w:name w:val="footer"/>
    <w:basedOn w:val="Normal"/>
    <w:link w:val="FooterChar"/>
    <w:uiPriority w:val="99"/>
    <w:unhideWhenUsed/>
    <w:rsid w:val="00A8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CFE"/>
  </w:style>
  <w:style w:type="paragraph" w:styleId="BalloonText">
    <w:name w:val="Balloon Text"/>
    <w:basedOn w:val="Normal"/>
    <w:link w:val="BalloonTextChar"/>
    <w:uiPriority w:val="99"/>
    <w:semiHidden/>
    <w:unhideWhenUsed/>
    <w:rsid w:val="00A86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FE"/>
    <w:rPr>
      <w:rFonts w:ascii="Segoe UI" w:hAnsi="Segoe UI" w:cs="Segoe UI"/>
      <w:sz w:val="18"/>
      <w:szCs w:val="18"/>
    </w:rPr>
  </w:style>
  <w:style w:type="paragraph" w:styleId="ListParagraph">
    <w:name w:val="List Paragraph"/>
    <w:basedOn w:val="Normal"/>
    <w:uiPriority w:val="34"/>
    <w:qFormat/>
    <w:rsid w:val="001765FB"/>
    <w:pPr>
      <w:spacing w:before="120" w:after="120" w:line="320" w:lineRule="exact"/>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Poirier</dc:creator>
  <cp:keywords/>
  <dc:description/>
  <cp:lastModifiedBy>Clemence Charruyer</cp:lastModifiedBy>
  <cp:revision>2</cp:revision>
  <cp:lastPrinted>2017-12-14T15:21:00Z</cp:lastPrinted>
  <dcterms:created xsi:type="dcterms:W3CDTF">2019-02-20T14:58:00Z</dcterms:created>
  <dcterms:modified xsi:type="dcterms:W3CDTF">2019-02-20T14:58:00Z</dcterms:modified>
</cp:coreProperties>
</file>