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10"/>
        <w:gridCol w:w="2310"/>
        <w:gridCol w:w="2310"/>
        <w:gridCol w:w="2310"/>
      </w:tblGrid>
      <w:tr w:rsidR="0045111F" w14:paraId="16D892F5" w14:textId="77777777" w:rsidTr="00045EC3">
        <w:tc>
          <w:tcPr>
            <w:tcW w:w="9240" w:type="dxa"/>
            <w:gridSpan w:val="4"/>
            <w:tcBorders>
              <w:top w:val="thinThickThinSmallGap" w:sz="18" w:space="0" w:color="144D29"/>
              <w:left w:val="thinThickThinSmallGap" w:sz="18" w:space="0" w:color="144D29"/>
              <w:bottom w:val="single" w:sz="4" w:space="0" w:color="144D29"/>
              <w:right w:val="thinThickThinSmallGap" w:sz="18" w:space="0" w:color="144D29"/>
            </w:tcBorders>
            <w:shd w:val="clear" w:color="auto" w:fill="auto"/>
          </w:tcPr>
          <w:p w14:paraId="1555C7A4" w14:textId="4FF844F1" w:rsidR="0045111F" w:rsidRPr="004424D2" w:rsidRDefault="00915EF5" w:rsidP="0045111F">
            <w:pPr>
              <w:jc w:val="center"/>
              <w:rPr>
                <w:b/>
                <w:color w:val="144D29"/>
              </w:rPr>
            </w:pPr>
            <w:r>
              <w:rPr>
                <w:b/>
                <w:color w:val="144D29"/>
              </w:rPr>
              <w:t>Property Assessment Analyst</w:t>
            </w:r>
          </w:p>
        </w:tc>
      </w:tr>
      <w:tr w:rsidR="00BE6138" w14:paraId="476C96D8"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0D8A7336" w14:textId="77777777" w:rsidR="0045111F" w:rsidRPr="004424D2" w:rsidRDefault="0045111F">
            <w:pPr>
              <w:rPr>
                <w:b/>
                <w:color w:val="144D29"/>
              </w:rPr>
            </w:pPr>
            <w:r w:rsidRPr="004424D2">
              <w:rPr>
                <w:b/>
                <w:color w:val="144D29"/>
              </w:rPr>
              <w:t>Competition Number</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1372868F" w14:textId="0FC39603" w:rsidR="0045111F" w:rsidRPr="004424D2" w:rsidRDefault="008B2B86">
            <w:pPr>
              <w:rPr>
                <w:color w:val="144D29"/>
              </w:rPr>
            </w:pPr>
            <w:r>
              <w:rPr>
                <w:color w:val="144D29"/>
              </w:rPr>
              <w:t>7</w:t>
            </w:r>
            <w:r w:rsidR="00915EF5">
              <w:rPr>
                <w:color w:val="144D29"/>
              </w:rPr>
              <w:t>6</w:t>
            </w:r>
            <w:r>
              <w:rPr>
                <w:color w:val="144D29"/>
              </w:rPr>
              <w:t>-791</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2BA0C84F" w14:textId="77777777" w:rsidR="0045111F" w:rsidRPr="004424D2" w:rsidRDefault="0045111F">
            <w:pPr>
              <w:rPr>
                <w:b/>
                <w:color w:val="144D29"/>
              </w:rPr>
            </w:pPr>
            <w:r w:rsidRPr="004424D2">
              <w:rPr>
                <w:b/>
                <w:color w:val="144D29"/>
              </w:rPr>
              <w:t>Job Code</w:t>
            </w:r>
          </w:p>
        </w:tc>
        <w:tc>
          <w:tcPr>
            <w:tcW w:w="2310" w:type="dxa"/>
            <w:tcBorders>
              <w:top w:val="single" w:sz="6" w:space="0" w:color="auto"/>
              <w:left w:val="single" w:sz="6" w:space="0" w:color="auto"/>
              <w:bottom w:val="single" w:sz="6" w:space="0" w:color="auto"/>
              <w:right w:val="thinThickThinSmallGap" w:sz="18" w:space="0" w:color="144D29"/>
            </w:tcBorders>
          </w:tcPr>
          <w:p w14:paraId="5231468E" w14:textId="6FD09C8D" w:rsidR="0045111F" w:rsidRPr="004424D2" w:rsidRDefault="008B2B86">
            <w:pPr>
              <w:rPr>
                <w:color w:val="144D29"/>
              </w:rPr>
            </w:pPr>
            <w:r>
              <w:rPr>
                <w:color w:val="144D29"/>
              </w:rPr>
              <w:t>11</w:t>
            </w:r>
            <w:r w:rsidR="00915EF5">
              <w:rPr>
                <w:color w:val="144D29"/>
              </w:rPr>
              <w:t>34</w:t>
            </w:r>
          </w:p>
        </w:tc>
      </w:tr>
      <w:tr w:rsidR="000F61DD" w14:paraId="5ED2A8A7"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2BE3AD78" w14:textId="77777777" w:rsidR="000F61DD" w:rsidRPr="004424D2" w:rsidRDefault="000F61DD" w:rsidP="000F61DD">
            <w:pPr>
              <w:rPr>
                <w:b/>
                <w:color w:val="144D29"/>
              </w:rPr>
            </w:pPr>
            <w:r w:rsidRPr="004424D2">
              <w:rPr>
                <w:b/>
                <w:color w:val="144D29"/>
              </w:rPr>
              <w:t>Posting Date</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588295A1" w14:textId="3B194CF6" w:rsidR="000F61DD" w:rsidRPr="004424D2" w:rsidRDefault="00915EF5" w:rsidP="000F61DD">
            <w:pPr>
              <w:rPr>
                <w:color w:val="144D29"/>
              </w:rPr>
            </w:pPr>
            <w:r>
              <w:rPr>
                <w:color w:val="144D29"/>
              </w:rPr>
              <w:t xml:space="preserve">July </w:t>
            </w:r>
            <w:r w:rsidR="0045387C">
              <w:rPr>
                <w:color w:val="144D29"/>
              </w:rPr>
              <w:t>1</w:t>
            </w:r>
            <w:r>
              <w:rPr>
                <w:color w:val="144D29"/>
              </w:rPr>
              <w:t>9</w:t>
            </w:r>
            <w:r w:rsidR="000F61DD">
              <w:rPr>
                <w:color w:val="144D29"/>
              </w:rPr>
              <w:t>, 2021</w:t>
            </w:r>
          </w:p>
        </w:tc>
        <w:tc>
          <w:tcPr>
            <w:tcW w:w="2310" w:type="dxa"/>
            <w:tcBorders>
              <w:top w:val="single" w:sz="6" w:space="0" w:color="auto"/>
              <w:left w:val="single" w:sz="6" w:space="0" w:color="auto"/>
              <w:bottom w:val="single" w:sz="6" w:space="0" w:color="auto"/>
              <w:right w:val="single" w:sz="6" w:space="0" w:color="auto"/>
            </w:tcBorders>
            <w:shd w:val="clear" w:color="auto" w:fill="auto"/>
          </w:tcPr>
          <w:p w14:paraId="24B334CE" w14:textId="192F3528" w:rsidR="000F61DD" w:rsidRPr="004424D2" w:rsidRDefault="000F61DD" w:rsidP="000F61DD">
            <w:pPr>
              <w:rPr>
                <w:b/>
                <w:color w:val="144D29"/>
              </w:rPr>
            </w:pPr>
            <w:r w:rsidRPr="004424D2">
              <w:rPr>
                <w:b/>
                <w:color w:val="144D29"/>
              </w:rPr>
              <w:t>Closing Date</w:t>
            </w:r>
          </w:p>
        </w:tc>
        <w:tc>
          <w:tcPr>
            <w:tcW w:w="2310" w:type="dxa"/>
            <w:tcBorders>
              <w:top w:val="single" w:sz="6" w:space="0" w:color="auto"/>
              <w:left w:val="single" w:sz="6" w:space="0" w:color="auto"/>
              <w:bottom w:val="single" w:sz="6" w:space="0" w:color="auto"/>
              <w:right w:val="thinThickThinSmallGap" w:sz="18" w:space="0" w:color="144D29"/>
            </w:tcBorders>
          </w:tcPr>
          <w:p w14:paraId="09FD8B38" w14:textId="5B206939" w:rsidR="000F61DD" w:rsidRPr="004424D2" w:rsidRDefault="0045387C" w:rsidP="000F61DD">
            <w:pPr>
              <w:rPr>
                <w:color w:val="144D29"/>
              </w:rPr>
            </w:pPr>
            <w:r>
              <w:rPr>
                <w:color w:val="144D29"/>
              </w:rPr>
              <w:t>August 2</w:t>
            </w:r>
            <w:r w:rsidR="000F61DD">
              <w:rPr>
                <w:color w:val="144D29"/>
              </w:rPr>
              <w:t>, 2021</w:t>
            </w:r>
          </w:p>
        </w:tc>
      </w:tr>
      <w:tr w:rsidR="00716B2D" w14:paraId="6E26CDF5" w14:textId="77777777" w:rsidTr="00716B2D">
        <w:tc>
          <w:tcPr>
            <w:tcW w:w="2310" w:type="dxa"/>
            <w:tcBorders>
              <w:top w:val="single" w:sz="4" w:space="0" w:color="144D29"/>
              <w:left w:val="thinThickThinSmallGap" w:sz="18" w:space="0" w:color="144D29"/>
              <w:bottom w:val="single" w:sz="6" w:space="0" w:color="auto"/>
              <w:right w:val="single" w:sz="4" w:space="0" w:color="auto"/>
            </w:tcBorders>
            <w:shd w:val="clear" w:color="auto" w:fill="auto"/>
          </w:tcPr>
          <w:p w14:paraId="529CE92E" w14:textId="77777777" w:rsidR="00716B2D" w:rsidRPr="004424D2" w:rsidRDefault="00716B2D" w:rsidP="00716B2D">
            <w:pPr>
              <w:rPr>
                <w:b/>
                <w:color w:val="144D29"/>
              </w:rPr>
            </w:pPr>
            <w:r w:rsidRPr="004424D2">
              <w:rPr>
                <w:b/>
                <w:color w:val="144D29"/>
              </w:rPr>
              <w:t>Job Status</w:t>
            </w:r>
          </w:p>
        </w:tc>
        <w:sdt>
          <w:sdtPr>
            <w:rPr>
              <w:color w:val="144D29"/>
            </w:rPr>
            <w:id w:val="1169676978"/>
            <w:placeholder>
              <w:docPart w:val="B8CDDFF4920749DCB4667A6509D14C4A"/>
            </w:placeholder>
            <w:dropDownList>
              <w:listItem w:value="Choose an item."/>
              <w:listItem w:displayText="Permanent Full-Time" w:value="Permanent Full-Time"/>
              <w:listItem w:displayText="Continuous Part-Time" w:value="Continuous Part-Time"/>
              <w:listItem w:displayText="Temporary Full-Time" w:value="Temporary Full-Time"/>
              <w:listItem w:displayText="Temporary Part-Time" w:value="Temporary Part-Time"/>
              <w:listItem w:displayText="Student" w:value="Student"/>
            </w:dropDownList>
          </w:sdtPr>
          <w:sdtEndPr/>
          <w:sdtContent>
            <w:tc>
              <w:tcPr>
                <w:tcW w:w="6930" w:type="dxa"/>
                <w:gridSpan w:val="3"/>
                <w:tcBorders>
                  <w:top w:val="single" w:sz="4" w:space="0" w:color="144D29"/>
                  <w:left w:val="single" w:sz="4" w:space="0" w:color="auto"/>
                  <w:bottom w:val="single" w:sz="6" w:space="0" w:color="auto"/>
                  <w:right w:val="thinThickThinSmallGap" w:sz="18" w:space="0" w:color="144D29"/>
                </w:tcBorders>
                <w:shd w:val="clear" w:color="auto" w:fill="auto"/>
              </w:tcPr>
              <w:p w14:paraId="68AA73BB" w14:textId="7403A1F1" w:rsidR="00716B2D" w:rsidRDefault="008B2B86" w:rsidP="00716B2D">
                <w:pPr>
                  <w:rPr>
                    <w:color w:val="144D29"/>
                  </w:rPr>
                </w:pPr>
                <w:r>
                  <w:rPr>
                    <w:color w:val="144D29"/>
                  </w:rPr>
                  <w:t>Permanent Full-Time</w:t>
                </w:r>
              </w:p>
            </w:tc>
          </w:sdtContent>
        </w:sdt>
      </w:tr>
      <w:tr w:rsidR="0045111F" w14:paraId="2955E763" w14:textId="77777777" w:rsidTr="00045EC3">
        <w:tc>
          <w:tcPr>
            <w:tcW w:w="9240" w:type="dxa"/>
            <w:gridSpan w:val="4"/>
            <w:tcBorders>
              <w:top w:val="single" w:sz="4" w:space="0" w:color="144D29"/>
              <w:left w:val="thinThickThinSmallGap" w:sz="18" w:space="0" w:color="144D29"/>
              <w:bottom w:val="single" w:sz="6" w:space="0" w:color="auto"/>
              <w:right w:val="thinThickThinSmallGap" w:sz="18" w:space="0" w:color="144D29"/>
            </w:tcBorders>
            <w:shd w:val="clear" w:color="auto" w:fill="auto"/>
          </w:tcPr>
          <w:p w14:paraId="61B827F6" w14:textId="791D2468" w:rsidR="0045111F" w:rsidRDefault="0045111F">
            <w:pPr>
              <w:rPr>
                <w:color w:val="144D29"/>
              </w:rPr>
            </w:pPr>
            <w:r w:rsidRPr="004424D2">
              <w:rPr>
                <w:color w:val="144D29"/>
              </w:rPr>
              <w:t>Position Overview:</w:t>
            </w:r>
          </w:p>
          <w:p w14:paraId="70E20139" w14:textId="1409F2C5" w:rsidR="008B2B86" w:rsidRPr="004424D2" w:rsidRDefault="008B2B86" w:rsidP="00915EF5">
            <w:pPr>
              <w:rPr>
                <w:color w:val="144D29"/>
              </w:rPr>
            </w:pPr>
          </w:p>
        </w:tc>
      </w:tr>
      <w:tr w:rsidR="0045111F" w14:paraId="3BFD99BB" w14:textId="77777777" w:rsidTr="00045EC3">
        <w:tc>
          <w:tcPr>
            <w:tcW w:w="9240" w:type="dxa"/>
            <w:gridSpan w:val="4"/>
            <w:tcBorders>
              <w:top w:val="single" w:sz="6" w:space="0" w:color="auto"/>
              <w:left w:val="thinThickThinSmallGap" w:sz="18" w:space="0" w:color="144D29"/>
              <w:bottom w:val="single" w:sz="6" w:space="0" w:color="auto"/>
              <w:right w:val="thinThickThinSmallGap" w:sz="18" w:space="0" w:color="144D29"/>
            </w:tcBorders>
            <w:shd w:val="clear" w:color="auto" w:fill="auto"/>
          </w:tcPr>
          <w:p w14:paraId="5F9A8838" w14:textId="77777777" w:rsidR="0045111F" w:rsidRPr="00C002C6" w:rsidRDefault="0045111F">
            <w:pPr>
              <w:rPr>
                <w:rFonts w:cstheme="minorHAnsi"/>
                <w:color w:val="144D29"/>
              </w:rPr>
            </w:pPr>
            <w:r w:rsidRPr="00C002C6">
              <w:rPr>
                <w:rFonts w:cstheme="minorHAnsi"/>
                <w:color w:val="144D29"/>
              </w:rPr>
              <w:t>Responsibilities</w:t>
            </w:r>
            <w:r w:rsidR="009160B4" w:rsidRPr="00C002C6">
              <w:rPr>
                <w:rFonts w:cstheme="minorHAnsi"/>
                <w:color w:val="144D29"/>
              </w:rPr>
              <w:t>:</w:t>
            </w:r>
          </w:p>
          <w:p w14:paraId="59DF8B94"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Responsible for the protection and enhancement of the City’s assessment base, in accordance with the City’s policies and procedures. </w:t>
            </w:r>
          </w:p>
          <w:p w14:paraId="6FFAA120"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Participate in Assessment Review Board appeals as either City’s representative, expert witness, or both where applicable. Represent the City in matters before other tribunals or courts as necessary.</w:t>
            </w:r>
          </w:p>
          <w:p w14:paraId="7D044C32"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Perform annual review of assessment roll to identify anomalies in assessments with respect to classifications, values, dates, and timeliness. </w:t>
            </w:r>
          </w:p>
          <w:p w14:paraId="28EC18DF"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Ensure compliance with all provincial legislation relating to property assessment from the Municipal perspective. </w:t>
            </w:r>
          </w:p>
          <w:p w14:paraId="0482DC7C"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Develop positive relations with key Municipal Property Assessment Corporation (MPAC) personnel and other relevant stakeholder’s including property tax agents and lawyers. </w:t>
            </w:r>
          </w:p>
          <w:p w14:paraId="2B5140BD"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Provide in-house expertise on assessment related matters when responding to inquiries from staff, Council or the public while ensuring adherence to the provisions of the Municipal Freedom of Information and Protection of Privacy Act (MFIPPA). </w:t>
            </w:r>
          </w:p>
          <w:p w14:paraId="672D5545"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Prepare reports and forecasts for critical corporate related items such as assessment growth, supplementary tax revenue, Payment-in-Lieu of taxes, assessment appeals and tax write offs. </w:t>
            </w:r>
          </w:p>
          <w:p w14:paraId="512D2443"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Preparation and collection of documentation to support the City’s position for assessment appeals. </w:t>
            </w:r>
          </w:p>
          <w:p w14:paraId="4BD50345"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Attendance at Assessment Review Board and other tribunals as the City’s representative. </w:t>
            </w:r>
          </w:p>
          <w:p w14:paraId="45EB3B3E"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Advanced verbal and presentation skills to present evidence and submissions of valuations. </w:t>
            </w:r>
          </w:p>
          <w:p w14:paraId="6C4C96CF"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Review, propose and negotiate assessment appeal settlements and approve settlements or recommend for acceptance or rejection in accordance with established protocols and thresholds. </w:t>
            </w:r>
          </w:p>
          <w:p w14:paraId="51426282"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 xml:space="preserve">Review Minutes of Settlement for accuracy and consistency with negotiated settlements. Sign or obtain signature of approver based on established protocols. </w:t>
            </w:r>
          </w:p>
          <w:p w14:paraId="7AC9F0DC" w14:textId="77777777" w:rsidR="00CD1100" w:rsidRPr="00CD1100" w:rsidRDefault="00CD1100" w:rsidP="00CD1100">
            <w:pPr>
              <w:pStyle w:val="ListParagraph"/>
              <w:numPr>
                <w:ilvl w:val="0"/>
                <w:numId w:val="1"/>
              </w:numPr>
              <w:rPr>
                <w:rFonts w:asciiTheme="minorHAnsi" w:eastAsia="Times New Roman" w:hAnsiTheme="minorHAnsi" w:cstheme="minorHAnsi"/>
                <w:color w:val="144D29"/>
              </w:rPr>
            </w:pPr>
            <w:r w:rsidRPr="00CD1100">
              <w:rPr>
                <w:rFonts w:asciiTheme="minorHAnsi" w:eastAsia="Times New Roman" w:hAnsiTheme="minorHAnsi" w:cstheme="minorHAnsi"/>
                <w:color w:val="144D29"/>
              </w:rPr>
              <w:t>Performs other related duties as assigned.</w:t>
            </w:r>
          </w:p>
          <w:p w14:paraId="4668C295" w14:textId="4DF6FE16" w:rsidR="008B2B86" w:rsidRPr="00C002C6" w:rsidRDefault="008B2B86" w:rsidP="00CD1100">
            <w:pPr>
              <w:pStyle w:val="ListParagraph"/>
              <w:ind w:left="720"/>
              <w:rPr>
                <w:rFonts w:asciiTheme="minorHAnsi" w:eastAsia="Times New Roman" w:hAnsiTheme="minorHAnsi" w:cstheme="minorHAnsi"/>
                <w:color w:val="144D29"/>
              </w:rPr>
            </w:pPr>
          </w:p>
        </w:tc>
      </w:tr>
      <w:tr w:rsidR="0045111F" w14:paraId="4C1FBCEB" w14:textId="77777777" w:rsidTr="00045EC3">
        <w:tc>
          <w:tcPr>
            <w:tcW w:w="9240" w:type="dxa"/>
            <w:gridSpan w:val="4"/>
            <w:tcBorders>
              <w:top w:val="single" w:sz="6" w:space="0" w:color="auto"/>
              <w:left w:val="thinThickThinSmallGap" w:sz="18" w:space="0" w:color="144D29"/>
              <w:bottom w:val="single" w:sz="6" w:space="0" w:color="auto"/>
              <w:right w:val="thinThickThinSmallGap" w:sz="18" w:space="0" w:color="144D29"/>
            </w:tcBorders>
            <w:shd w:val="clear" w:color="auto" w:fill="auto"/>
          </w:tcPr>
          <w:p w14:paraId="0AFF7F57" w14:textId="77777777" w:rsidR="0045111F" w:rsidRPr="004424D2" w:rsidRDefault="0045111F">
            <w:pPr>
              <w:rPr>
                <w:color w:val="144D29"/>
              </w:rPr>
            </w:pPr>
            <w:r w:rsidRPr="004424D2">
              <w:rPr>
                <w:color w:val="144D29"/>
              </w:rPr>
              <w:t>Requirements</w:t>
            </w:r>
            <w:r w:rsidR="009160B4" w:rsidRPr="004424D2">
              <w:rPr>
                <w:color w:val="144D29"/>
              </w:rPr>
              <w:t>:</w:t>
            </w:r>
          </w:p>
          <w:p w14:paraId="68C0850E" w14:textId="77777777" w:rsidR="00CD1100" w:rsidRPr="00CD1100" w:rsidRDefault="00CD1100" w:rsidP="00CD1100">
            <w:pPr>
              <w:numPr>
                <w:ilvl w:val="0"/>
                <w:numId w:val="2"/>
              </w:numPr>
              <w:rPr>
                <w:color w:val="144D29"/>
              </w:rPr>
            </w:pPr>
            <w:r w:rsidRPr="00CD1100">
              <w:rPr>
                <w:color w:val="144D29"/>
              </w:rPr>
              <w:t xml:space="preserve">Must have a 3 year degree or diploma in Real Estate, Land Economics, Commerce, Business, Real Property Administration, Urban Planning or a related discipline. </w:t>
            </w:r>
          </w:p>
          <w:p w14:paraId="3CBD668B" w14:textId="77777777" w:rsidR="00CD1100" w:rsidRPr="00CD1100" w:rsidRDefault="00CD1100" w:rsidP="00CD1100">
            <w:pPr>
              <w:numPr>
                <w:ilvl w:val="0"/>
                <w:numId w:val="2"/>
              </w:numPr>
              <w:rPr>
                <w:color w:val="144D29"/>
              </w:rPr>
            </w:pPr>
            <w:r w:rsidRPr="00CD1100">
              <w:rPr>
                <w:color w:val="144D29"/>
              </w:rPr>
              <w:t xml:space="preserve">Must have a minimum of 4 years’ relevant experience in property assessment, appraisal, or related environment. Candidates with an equivalent combination of education and experience may be considered. </w:t>
            </w:r>
          </w:p>
          <w:p w14:paraId="4913B105" w14:textId="78BA38A3" w:rsidR="00CD1100" w:rsidRPr="00CD1100" w:rsidRDefault="00CD1100" w:rsidP="00CD1100">
            <w:pPr>
              <w:numPr>
                <w:ilvl w:val="0"/>
                <w:numId w:val="2"/>
              </w:numPr>
              <w:rPr>
                <w:color w:val="144D29"/>
              </w:rPr>
            </w:pPr>
            <w:r w:rsidRPr="00CD1100">
              <w:rPr>
                <w:color w:val="144D29"/>
              </w:rPr>
              <w:t>Accredited membership in good standing of either the Appraisal Institute of Canada or the Institute of Municipal Assessors is required</w:t>
            </w:r>
            <w:r w:rsidR="00C170C3">
              <w:rPr>
                <w:color w:val="144D29"/>
              </w:rPr>
              <w:t>.</w:t>
            </w:r>
          </w:p>
          <w:p w14:paraId="137AF472" w14:textId="7B478659" w:rsidR="00CD1100" w:rsidRPr="00CD1100" w:rsidRDefault="00CD1100" w:rsidP="00CD1100">
            <w:pPr>
              <w:numPr>
                <w:ilvl w:val="0"/>
                <w:numId w:val="2"/>
              </w:numPr>
              <w:rPr>
                <w:color w:val="144D29"/>
              </w:rPr>
            </w:pPr>
            <w:r w:rsidRPr="00CD1100">
              <w:rPr>
                <w:color w:val="144D29"/>
              </w:rPr>
              <w:t>Completion of a Paralegal Certification an asset</w:t>
            </w:r>
            <w:r w:rsidR="00C170C3">
              <w:rPr>
                <w:color w:val="144D29"/>
              </w:rPr>
              <w:t>.</w:t>
            </w:r>
          </w:p>
          <w:p w14:paraId="6F0074E8" w14:textId="77777777" w:rsidR="00CD1100" w:rsidRPr="00CD1100" w:rsidRDefault="00CD1100" w:rsidP="00CD1100">
            <w:pPr>
              <w:numPr>
                <w:ilvl w:val="0"/>
                <w:numId w:val="2"/>
              </w:numPr>
              <w:rPr>
                <w:color w:val="144D29"/>
              </w:rPr>
            </w:pPr>
            <w:r w:rsidRPr="00CD1100">
              <w:rPr>
                <w:color w:val="144D29"/>
              </w:rPr>
              <w:t xml:space="preserve">Successful completion of courses or accreditation in mediation is preferred. </w:t>
            </w:r>
          </w:p>
          <w:p w14:paraId="7F91CAA9" w14:textId="77777777" w:rsidR="00CD1100" w:rsidRPr="00CD1100" w:rsidRDefault="00CD1100" w:rsidP="00CD1100">
            <w:pPr>
              <w:numPr>
                <w:ilvl w:val="0"/>
                <w:numId w:val="2"/>
              </w:numPr>
              <w:rPr>
                <w:color w:val="144D29"/>
              </w:rPr>
            </w:pPr>
            <w:r w:rsidRPr="00CD1100">
              <w:rPr>
                <w:color w:val="144D29"/>
              </w:rPr>
              <w:t xml:space="preserve">Experienced with proceedings before the Assessment Review Board and other Tribunals is preferred. </w:t>
            </w:r>
          </w:p>
          <w:p w14:paraId="1718A245" w14:textId="77777777" w:rsidR="00CD1100" w:rsidRPr="00CD1100" w:rsidRDefault="00CD1100" w:rsidP="00CD1100">
            <w:pPr>
              <w:numPr>
                <w:ilvl w:val="0"/>
                <w:numId w:val="2"/>
              </w:numPr>
              <w:rPr>
                <w:color w:val="144D29"/>
              </w:rPr>
            </w:pPr>
            <w:r w:rsidRPr="00CD1100">
              <w:rPr>
                <w:color w:val="144D29"/>
              </w:rPr>
              <w:lastRenderedPageBreak/>
              <w:t xml:space="preserve">Must have a full knowledge of the Municipal Act, Assessment Act, and Assessment Review Board Rules of Practice and Procedure. </w:t>
            </w:r>
          </w:p>
          <w:p w14:paraId="2715E1B2" w14:textId="77777777" w:rsidR="00CD1100" w:rsidRPr="00CD1100" w:rsidRDefault="00CD1100" w:rsidP="00CD1100">
            <w:pPr>
              <w:numPr>
                <w:ilvl w:val="0"/>
                <w:numId w:val="2"/>
              </w:numPr>
              <w:rPr>
                <w:color w:val="144D29"/>
              </w:rPr>
            </w:pPr>
            <w:r w:rsidRPr="00CD1100">
              <w:rPr>
                <w:color w:val="144D29"/>
              </w:rPr>
              <w:t xml:space="preserve">Knowledge of property valuation/appraisal, municipal property taxation, administration and accounting. </w:t>
            </w:r>
          </w:p>
          <w:p w14:paraId="0D803F16" w14:textId="77777777" w:rsidR="00CD1100" w:rsidRPr="00CD1100" w:rsidRDefault="00CD1100" w:rsidP="00CD1100">
            <w:pPr>
              <w:numPr>
                <w:ilvl w:val="0"/>
                <w:numId w:val="2"/>
              </w:numPr>
              <w:rPr>
                <w:color w:val="144D29"/>
              </w:rPr>
            </w:pPr>
            <w:r w:rsidRPr="00CD1100">
              <w:rPr>
                <w:color w:val="144D29"/>
              </w:rPr>
              <w:t xml:space="preserve">Proven negotiation skills with the ability to resolve complex and controversial issues related to assessment and taxation an asset. </w:t>
            </w:r>
          </w:p>
          <w:p w14:paraId="0C00E52B" w14:textId="77777777" w:rsidR="00CD1100" w:rsidRPr="00CD1100" w:rsidRDefault="00CD1100" w:rsidP="00CD1100">
            <w:pPr>
              <w:numPr>
                <w:ilvl w:val="0"/>
                <w:numId w:val="2"/>
              </w:numPr>
              <w:rPr>
                <w:color w:val="144D29"/>
              </w:rPr>
            </w:pPr>
            <w:r w:rsidRPr="00CD1100">
              <w:rPr>
                <w:color w:val="144D29"/>
              </w:rPr>
              <w:t xml:space="preserve">Must have the ability to travel offsite to conduct site inspections, or attend offsite meetings. </w:t>
            </w:r>
          </w:p>
          <w:p w14:paraId="1964629D" w14:textId="77777777" w:rsidR="00CD1100" w:rsidRPr="00CD1100" w:rsidRDefault="00CD1100" w:rsidP="00CD1100">
            <w:pPr>
              <w:numPr>
                <w:ilvl w:val="0"/>
                <w:numId w:val="2"/>
              </w:numPr>
              <w:rPr>
                <w:color w:val="144D29"/>
              </w:rPr>
            </w:pPr>
            <w:r w:rsidRPr="00CD1100">
              <w:rPr>
                <w:color w:val="144D29"/>
              </w:rPr>
              <w:t xml:space="preserve">Advanced skills in Microsoft Office (Word, Excel and PowerPoint). </w:t>
            </w:r>
          </w:p>
          <w:p w14:paraId="6C4A840F" w14:textId="77777777" w:rsidR="00CD1100" w:rsidRDefault="00CD1100" w:rsidP="00CD1100">
            <w:pPr>
              <w:numPr>
                <w:ilvl w:val="0"/>
                <w:numId w:val="2"/>
              </w:numPr>
              <w:rPr>
                <w:color w:val="144D29"/>
              </w:rPr>
            </w:pPr>
            <w:r w:rsidRPr="00CD1100">
              <w:rPr>
                <w:color w:val="144D29"/>
              </w:rPr>
              <w:t>A valid Class G driver’s license in good standing is a requirement for the role</w:t>
            </w:r>
          </w:p>
          <w:p w14:paraId="3B27D928" w14:textId="02785191" w:rsidR="00CD1100" w:rsidRPr="00CD1100" w:rsidRDefault="00CD1100" w:rsidP="00CD1100">
            <w:pPr>
              <w:numPr>
                <w:ilvl w:val="0"/>
                <w:numId w:val="2"/>
              </w:numPr>
              <w:rPr>
                <w:color w:val="144D29"/>
              </w:rPr>
            </w:pPr>
            <w:r w:rsidRPr="00CD1100">
              <w:rPr>
                <w:color w:val="144D29"/>
              </w:rPr>
              <w:t>Candidates may be required to complete testing as part of the recruitment process, as it relates to the requirements of this position.</w:t>
            </w:r>
          </w:p>
          <w:p w14:paraId="01C9C3F4" w14:textId="272DC286" w:rsidR="00CD1100" w:rsidRPr="00CD1100" w:rsidRDefault="00CD1100" w:rsidP="00CD1100">
            <w:pPr>
              <w:rPr>
                <w:color w:val="144D29"/>
              </w:rPr>
            </w:pPr>
          </w:p>
          <w:p w14:paraId="346F26BC" w14:textId="77777777" w:rsidR="00CD1100" w:rsidRPr="00CD1100" w:rsidRDefault="00CD1100" w:rsidP="00CD1100">
            <w:pPr>
              <w:rPr>
                <w:color w:val="144D29"/>
              </w:rPr>
            </w:pPr>
            <w:r w:rsidRPr="00CD1100">
              <w:rPr>
                <w:color w:val="144D29"/>
              </w:rPr>
              <w:t>Note: All interested applicants are encouraged to apply. In the event there is no successful applicant with the stated level of education and experience, other applicants will be considered if a combination of their education and experience meets the following pre-determined equivalency: 2 year diploma or 2 year Specialized Post Secondary program with 7 years experience or 4 year Honours degree with minimum 2 years experience.</w:t>
            </w:r>
          </w:p>
          <w:p w14:paraId="7A23917B" w14:textId="77777777" w:rsidR="00CD1100" w:rsidRPr="008B2B86" w:rsidRDefault="00CD1100" w:rsidP="00CD1100">
            <w:pPr>
              <w:ind w:left="720"/>
              <w:rPr>
                <w:color w:val="144D29"/>
              </w:rPr>
            </w:pPr>
          </w:p>
          <w:p w14:paraId="4C5D09CD" w14:textId="77777777" w:rsidR="00F55835" w:rsidRDefault="00F55835" w:rsidP="00F55835">
            <w:pPr>
              <w:ind w:left="720"/>
              <w:rPr>
                <w:color w:val="144D29"/>
              </w:rPr>
            </w:pPr>
          </w:p>
          <w:p w14:paraId="102E30EB" w14:textId="77777777" w:rsidR="00F55835" w:rsidRPr="00916DCA" w:rsidRDefault="00F55835" w:rsidP="00F55835">
            <w:pPr>
              <w:rPr>
                <w:color w:val="144D29"/>
              </w:rPr>
            </w:pPr>
            <w:r w:rsidRPr="00916DCA">
              <w:rPr>
                <w:color w:val="144D29"/>
              </w:rPr>
              <w:t xml:space="preserve">HOURS OF WORK: MONDAY - FRIDAY: 8:30 a.m. - 4:30 p.m. </w:t>
            </w:r>
          </w:p>
          <w:p w14:paraId="57174F02" w14:textId="77777777" w:rsidR="00F55835" w:rsidRPr="00916DCA" w:rsidRDefault="00F55835" w:rsidP="00F55835">
            <w:pPr>
              <w:rPr>
                <w:color w:val="144D29"/>
              </w:rPr>
            </w:pPr>
            <w:r w:rsidRPr="00916DCA">
              <w:rPr>
                <w:color w:val="144D29"/>
              </w:rPr>
              <w:t xml:space="preserve">                                                       </w:t>
            </w:r>
            <w:r>
              <w:rPr>
                <w:color w:val="144D29"/>
              </w:rPr>
              <w:t xml:space="preserve">             </w:t>
            </w:r>
            <w:r w:rsidRPr="00916DCA">
              <w:rPr>
                <w:color w:val="144D29"/>
              </w:rPr>
              <w:t xml:space="preserve"> 9:00 a.m. - 5:00 p.m.</w:t>
            </w:r>
          </w:p>
          <w:p w14:paraId="56BF9E71" w14:textId="284DDC8F" w:rsidR="00F55835" w:rsidRPr="008B2B86" w:rsidRDefault="00F55835" w:rsidP="00F55835">
            <w:pPr>
              <w:rPr>
                <w:color w:val="144D29"/>
              </w:rPr>
            </w:pPr>
            <w:r w:rsidRPr="00916DCA">
              <w:rPr>
                <w:color w:val="144D29"/>
              </w:rPr>
              <w:t xml:space="preserve">                                     </w:t>
            </w:r>
            <w:r>
              <w:rPr>
                <w:color w:val="144D29"/>
              </w:rPr>
              <w:t xml:space="preserve">         </w:t>
            </w:r>
            <w:r w:rsidRPr="00916DCA">
              <w:rPr>
                <w:color w:val="144D29"/>
              </w:rPr>
              <w:t xml:space="preserve"> (modified)   8:30 a.m. - 5:00 p.m. (or approved alternate)</w:t>
            </w:r>
          </w:p>
          <w:p w14:paraId="06C4EF5F" w14:textId="77777777" w:rsidR="009160B4" w:rsidRPr="004424D2" w:rsidRDefault="009160B4" w:rsidP="008B2B86">
            <w:pPr>
              <w:ind w:left="720"/>
              <w:rPr>
                <w:color w:val="144D29"/>
              </w:rPr>
            </w:pPr>
          </w:p>
        </w:tc>
      </w:tr>
      <w:tr w:rsidR="0045111F" w14:paraId="52E85778" w14:textId="77777777" w:rsidTr="00045EC3">
        <w:tc>
          <w:tcPr>
            <w:tcW w:w="9240" w:type="dxa"/>
            <w:gridSpan w:val="4"/>
            <w:tcBorders>
              <w:top w:val="single" w:sz="6" w:space="0" w:color="auto"/>
              <w:left w:val="thinThickThinSmallGap" w:sz="18" w:space="0" w:color="144D29"/>
              <w:bottom w:val="single" w:sz="6" w:space="0" w:color="auto"/>
              <w:right w:val="thinThickThinSmallGap" w:sz="18" w:space="0" w:color="144D29"/>
            </w:tcBorders>
            <w:shd w:val="clear" w:color="auto" w:fill="auto"/>
          </w:tcPr>
          <w:p w14:paraId="789F600E" w14:textId="77777777" w:rsidR="0045111F" w:rsidRPr="004424D2" w:rsidRDefault="0045111F" w:rsidP="0045111F">
            <w:pPr>
              <w:jc w:val="center"/>
              <w:rPr>
                <w:rFonts w:ascii="Verdana" w:hAnsi="Verdana"/>
                <w:color w:val="144D29"/>
                <w:sz w:val="17"/>
                <w:szCs w:val="17"/>
              </w:rPr>
            </w:pPr>
            <w:r w:rsidRPr="004424D2">
              <w:rPr>
                <w:rFonts w:ascii="Verdana" w:hAnsi="Verdana"/>
                <w:b/>
                <w:bCs/>
                <w:color w:val="144D29"/>
                <w:sz w:val="20"/>
                <w:szCs w:val="20"/>
              </w:rPr>
              <w:lastRenderedPageBreak/>
              <w:t xml:space="preserve">We are committed to diversity and inclusion, and thank all applicants in advance.   </w:t>
            </w:r>
          </w:p>
          <w:p w14:paraId="1534ED61" w14:textId="77777777" w:rsidR="0045111F" w:rsidRPr="004424D2" w:rsidRDefault="0045111F" w:rsidP="0045111F">
            <w:pPr>
              <w:jc w:val="center"/>
              <w:rPr>
                <w:rFonts w:ascii="Verdana" w:hAnsi="Verdana"/>
                <w:color w:val="144D29"/>
                <w:sz w:val="17"/>
                <w:szCs w:val="17"/>
              </w:rPr>
            </w:pPr>
            <w:r w:rsidRPr="004424D2">
              <w:rPr>
                <w:rFonts w:ascii="Verdana" w:hAnsi="Verdana"/>
                <w:b/>
                <w:bCs/>
                <w:color w:val="144D29"/>
                <w:sz w:val="20"/>
                <w:szCs w:val="20"/>
              </w:rPr>
              <w:t xml:space="preserve">Accommodations are available during all stages of the recruitment process in accordance with the Human Rights Code.   </w:t>
            </w:r>
          </w:p>
          <w:p w14:paraId="2A83521E" w14:textId="77777777" w:rsidR="0045111F" w:rsidRPr="004424D2" w:rsidRDefault="0045111F" w:rsidP="0045111F">
            <w:pPr>
              <w:jc w:val="center"/>
              <w:rPr>
                <w:rFonts w:ascii="Verdana" w:hAnsi="Verdana"/>
                <w:color w:val="144D29"/>
                <w:sz w:val="17"/>
                <w:szCs w:val="17"/>
              </w:rPr>
            </w:pPr>
            <w:r w:rsidRPr="004424D2">
              <w:rPr>
                <w:rFonts w:ascii="Verdana" w:hAnsi="Verdana"/>
                <w:b/>
                <w:bCs/>
                <w:color w:val="144D29"/>
                <w:sz w:val="17"/>
                <w:szCs w:val="17"/>
              </w:rPr>
              <w:t> </w:t>
            </w:r>
          </w:p>
          <w:p w14:paraId="0AF2255D" w14:textId="77777777" w:rsidR="0045111F" w:rsidRPr="004424D2" w:rsidRDefault="0045111F" w:rsidP="0045111F">
            <w:pPr>
              <w:jc w:val="center"/>
              <w:rPr>
                <w:rFonts w:ascii="Verdana" w:hAnsi="Verdana"/>
                <w:color w:val="144D29"/>
                <w:sz w:val="17"/>
                <w:szCs w:val="17"/>
              </w:rPr>
            </w:pPr>
            <w:r w:rsidRPr="004424D2">
              <w:rPr>
                <w:rFonts w:ascii="Verdana" w:hAnsi="Verdana"/>
                <w:b/>
                <w:bCs/>
                <w:color w:val="144D29"/>
                <w:sz w:val="20"/>
                <w:szCs w:val="20"/>
              </w:rPr>
              <w:t>We thank all applicants for their interest, however only candidates selected for further consideration will be contacted</w:t>
            </w:r>
          </w:p>
          <w:p w14:paraId="069019CF" w14:textId="77777777" w:rsidR="0045111F" w:rsidRPr="004424D2" w:rsidRDefault="0045111F" w:rsidP="0045111F">
            <w:pPr>
              <w:rPr>
                <w:rFonts w:ascii="Verdana" w:hAnsi="Verdana"/>
                <w:color w:val="144D29"/>
                <w:sz w:val="17"/>
                <w:szCs w:val="17"/>
              </w:rPr>
            </w:pPr>
            <w:r w:rsidRPr="004424D2">
              <w:rPr>
                <w:rFonts w:ascii="Verdana" w:hAnsi="Verdana"/>
                <w:color w:val="144D29"/>
                <w:sz w:val="17"/>
                <w:szCs w:val="17"/>
              </w:rPr>
              <w:t> </w:t>
            </w:r>
          </w:p>
          <w:p w14:paraId="613AD671" w14:textId="77777777" w:rsidR="0045111F" w:rsidRPr="004424D2" w:rsidRDefault="0045111F" w:rsidP="0045111F">
            <w:pPr>
              <w:rPr>
                <w:rFonts w:ascii="Verdana" w:hAnsi="Verdana"/>
                <w:color w:val="144D29"/>
                <w:sz w:val="17"/>
                <w:szCs w:val="17"/>
              </w:rPr>
            </w:pPr>
            <w:r w:rsidRPr="004424D2">
              <w:rPr>
                <w:rFonts w:ascii="Verdana" w:hAnsi="Verdana"/>
                <w:color w:val="144D29"/>
                <w:sz w:val="17"/>
                <w:szCs w:val="17"/>
              </w:rPr>
              <w:t> </w:t>
            </w:r>
          </w:p>
          <w:p w14:paraId="29418864" w14:textId="77777777" w:rsidR="0045111F" w:rsidRPr="004424D2" w:rsidRDefault="0045111F" w:rsidP="0045111F">
            <w:pPr>
              <w:rPr>
                <w:rFonts w:ascii="Verdana" w:hAnsi="Verdana"/>
                <w:color w:val="144D29"/>
                <w:sz w:val="17"/>
                <w:szCs w:val="17"/>
              </w:rPr>
            </w:pPr>
            <w:r w:rsidRPr="004424D2">
              <w:rPr>
                <w:rStyle w:val="Emphasis"/>
                <w:rFonts w:ascii="Verdana" w:hAnsi="Verdana"/>
                <w:color w:val="144D29"/>
                <w:sz w:val="17"/>
                <w:szCs w:val="17"/>
              </w:rPr>
              <w:t>Please note that as per Human Resources Policy #II-110, "Employment of Relatives of Staff Members and Elected Officials":</w:t>
            </w:r>
          </w:p>
          <w:p w14:paraId="521A27EA" w14:textId="2983B962" w:rsidR="0045111F" w:rsidRPr="003F44B0" w:rsidRDefault="0045111F" w:rsidP="0045111F">
            <w:pPr>
              <w:rPr>
                <w:rFonts w:ascii="Verdana" w:hAnsi="Verdana"/>
                <w:color w:val="144D29"/>
                <w:sz w:val="17"/>
                <w:szCs w:val="17"/>
              </w:rPr>
            </w:pPr>
            <w:r w:rsidRPr="004424D2">
              <w:rPr>
                <w:rStyle w:val="Emphasis"/>
                <w:rFonts w:ascii="Verdana" w:hAnsi="Verdana"/>
                <w:color w:val="144D29"/>
                <w:sz w:val="17"/>
                <w:szCs w:val="17"/>
              </w:rPr>
              <w:t xml:space="preserve">"The immediate relatives of staff of the Human Resources Division, all </w:t>
            </w:r>
            <w:r w:rsidRPr="003F44B0">
              <w:rPr>
                <w:rStyle w:val="Emphasis"/>
                <w:rFonts w:ascii="Verdana" w:hAnsi="Verdana"/>
                <w:color w:val="144D29"/>
                <w:sz w:val="17"/>
                <w:szCs w:val="17"/>
              </w:rPr>
              <w:t>Directors,</w:t>
            </w:r>
            <w:r w:rsidR="003F44B0" w:rsidRPr="003F44B0">
              <w:rPr>
                <w:rStyle w:val="Emphasis"/>
                <w:rFonts w:ascii="Verdana" w:hAnsi="Verdana"/>
                <w:color w:val="144D29"/>
                <w:sz w:val="17"/>
                <w:szCs w:val="17"/>
              </w:rPr>
              <w:t xml:space="preserve"> General Managers</w:t>
            </w:r>
            <w:r w:rsidRPr="003F44B0">
              <w:rPr>
                <w:rStyle w:val="Emphasis"/>
                <w:rFonts w:ascii="Verdana" w:hAnsi="Verdana"/>
                <w:color w:val="144D29"/>
                <w:sz w:val="17"/>
                <w:szCs w:val="17"/>
              </w:rPr>
              <w:t>, or the Chief Administrative Officer and Elected Officials shall not be employed by the City in any capacity.</w:t>
            </w:r>
          </w:p>
          <w:p w14:paraId="507A0FB4" w14:textId="77777777" w:rsidR="0045111F" w:rsidRPr="003F44B0" w:rsidRDefault="0045111F" w:rsidP="0045111F">
            <w:pPr>
              <w:rPr>
                <w:rFonts w:ascii="Verdana" w:hAnsi="Verdana"/>
                <w:color w:val="144D29"/>
                <w:sz w:val="17"/>
                <w:szCs w:val="17"/>
              </w:rPr>
            </w:pPr>
            <w:r w:rsidRPr="003F44B0">
              <w:rPr>
                <w:rStyle w:val="Emphasis"/>
                <w:rFonts w:ascii="Verdana" w:hAnsi="Verdana"/>
                <w:color w:val="144D29"/>
                <w:sz w:val="17"/>
                <w:szCs w:val="17"/>
              </w:rPr>
              <w:t>The immediate relatives of all other Management personnel shall not be employed where such employment would be:</w:t>
            </w:r>
          </w:p>
          <w:p w14:paraId="75B9421B" w14:textId="77777777" w:rsidR="0045111F" w:rsidRPr="004424D2" w:rsidRDefault="0045111F" w:rsidP="0045111F">
            <w:pPr>
              <w:rPr>
                <w:rFonts w:ascii="Verdana" w:hAnsi="Verdana"/>
                <w:color w:val="144D29"/>
                <w:sz w:val="17"/>
                <w:szCs w:val="17"/>
              </w:rPr>
            </w:pPr>
            <w:r w:rsidRPr="003F44B0">
              <w:rPr>
                <w:rStyle w:val="Emphasis"/>
                <w:rFonts w:ascii="Verdana" w:hAnsi="Verdana"/>
                <w:color w:val="144D29"/>
                <w:sz w:val="17"/>
                <w:szCs w:val="17"/>
              </w:rPr>
              <w:t>1. within the same Department in the case of permanent full-time, temporary full</w:t>
            </w:r>
            <w:r w:rsidRPr="004424D2">
              <w:rPr>
                <w:rStyle w:val="Emphasis"/>
                <w:rFonts w:ascii="Verdana" w:hAnsi="Verdana"/>
                <w:color w:val="144D29"/>
                <w:sz w:val="17"/>
                <w:szCs w:val="17"/>
              </w:rPr>
              <w:t>-time and part-time classifications.</w:t>
            </w:r>
          </w:p>
          <w:p w14:paraId="5F29FE37" w14:textId="77777777" w:rsidR="0045111F" w:rsidRPr="004424D2" w:rsidRDefault="0045111F" w:rsidP="0045111F">
            <w:pPr>
              <w:rPr>
                <w:rFonts w:ascii="Verdana" w:hAnsi="Verdana"/>
                <w:color w:val="144D29"/>
                <w:sz w:val="17"/>
                <w:szCs w:val="17"/>
              </w:rPr>
            </w:pPr>
            <w:r w:rsidRPr="004424D2">
              <w:rPr>
                <w:rStyle w:val="Emphasis"/>
                <w:rFonts w:ascii="Verdana" w:hAnsi="Verdana"/>
                <w:color w:val="144D29"/>
                <w:sz w:val="17"/>
                <w:szCs w:val="17"/>
              </w:rPr>
              <w:t>2. within the same Division in the case of students."</w:t>
            </w:r>
          </w:p>
          <w:p w14:paraId="690A8049" w14:textId="77777777" w:rsidR="0045111F" w:rsidRPr="004424D2" w:rsidRDefault="0045111F">
            <w:pPr>
              <w:rPr>
                <w:color w:val="144D29"/>
              </w:rPr>
            </w:pPr>
          </w:p>
        </w:tc>
      </w:tr>
      <w:tr w:rsidR="00BE6138" w14:paraId="197418CE"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36708676" w14:textId="77777777" w:rsidR="0045111F" w:rsidRPr="004424D2" w:rsidRDefault="0045111F">
            <w:pPr>
              <w:rPr>
                <w:b/>
                <w:color w:val="144D29"/>
              </w:rPr>
            </w:pPr>
            <w:r w:rsidRPr="004424D2">
              <w:rPr>
                <w:b/>
                <w:color w:val="144D29"/>
              </w:rPr>
              <w:t>Department</w:t>
            </w:r>
          </w:p>
        </w:tc>
        <w:sdt>
          <w:sdtPr>
            <w:rPr>
              <w:color w:val="144D29"/>
            </w:rPr>
            <w:id w:val="-1928490693"/>
            <w:placeholder>
              <w:docPart w:val="DefaultPlaceholder_-1854013438"/>
            </w:placeholder>
            <w:dropDownList>
              <w:listItem w:value="Choose an item."/>
              <w:listItem w:displayText="Community Services" w:value="Community Services"/>
              <w:listItem w:displayText="Corporate Services" w:value="Corporate Services"/>
              <w:listItem w:displayText="Development Services" w:value="Development Services"/>
              <w:listItem w:displayText="Financial Services" w:value="Financial Services"/>
              <w:listItem w:displayText="Infrastructure Services" w:value="Infrastructure Services"/>
              <w:listItem w:displayText="Office of the CAO" w:value="Office of the CAO"/>
            </w:dropDownList>
          </w:sdtPr>
          <w:sdtEndPr/>
          <w:sdtContent>
            <w:tc>
              <w:tcPr>
                <w:tcW w:w="2310" w:type="dxa"/>
                <w:tcBorders>
                  <w:top w:val="single" w:sz="4" w:space="0" w:color="auto"/>
                  <w:left w:val="single" w:sz="6" w:space="0" w:color="auto"/>
                  <w:bottom w:val="single" w:sz="6" w:space="0" w:color="auto"/>
                  <w:right w:val="single" w:sz="4" w:space="0" w:color="144D29"/>
                </w:tcBorders>
                <w:shd w:val="clear" w:color="auto" w:fill="auto"/>
              </w:tcPr>
              <w:p w14:paraId="15E33DFA" w14:textId="3F6C573B" w:rsidR="0045111F" w:rsidRPr="004424D2" w:rsidRDefault="008B2B86">
                <w:pPr>
                  <w:rPr>
                    <w:color w:val="144D29"/>
                  </w:rPr>
                </w:pPr>
                <w:r>
                  <w:rPr>
                    <w:color w:val="144D29"/>
                  </w:rPr>
                  <w:t>Financial Services</w:t>
                </w:r>
              </w:p>
            </w:tc>
          </w:sdtContent>
        </w:sdt>
        <w:tc>
          <w:tcPr>
            <w:tcW w:w="2310" w:type="dxa"/>
            <w:tcBorders>
              <w:top w:val="single" w:sz="4" w:space="0" w:color="auto"/>
              <w:left w:val="single" w:sz="4" w:space="0" w:color="144D29"/>
              <w:bottom w:val="single" w:sz="6" w:space="0" w:color="auto"/>
              <w:right w:val="single" w:sz="6" w:space="0" w:color="auto"/>
            </w:tcBorders>
            <w:shd w:val="clear" w:color="auto" w:fill="auto"/>
          </w:tcPr>
          <w:p w14:paraId="49CD62E2" w14:textId="77777777" w:rsidR="0045111F" w:rsidRPr="004424D2" w:rsidRDefault="0045111F">
            <w:pPr>
              <w:rPr>
                <w:b/>
                <w:color w:val="144D29"/>
              </w:rPr>
            </w:pPr>
            <w:r w:rsidRPr="004424D2">
              <w:rPr>
                <w:b/>
                <w:color w:val="144D29"/>
              </w:rPr>
              <w:t>Division</w:t>
            </w:r>
          </w:p>
        </w:tc>
        <w:sdt>
          <w:sdtPr>
            <w:rPr>
              <w:color w:val="144D29"/>
            </w:rPr>
            <w:id w:val="2098215566"/>
            <w:placeholder>
              <w:docPart w:val="DefaultPlaceholder_-1854013438"/>
            </w:placeholder>
            <w:dropDownList>
              <w:listItem w:value="Choose an item."/>
              <w:listItem w:displayText="Accounting" w:value="Accounting"/>
              <w:listItem w:displayText="Asset Management and Business Solutions" w:value="Asset Management and Business Solutions"/>
              <w:listItem w:displayText="Building" w:value="Building"/>
              <w:listItem w:displayText="Bylaw Enforcement" w:value="Bylaw Enforcement"/>
              <w:listItem w:displayText="Corporate Communications and Marketing" w:value="Corporate Communications and Marketing"/>
              <w:listItem w:displayText="Corporate Customer Services" w:value="Corporate Customer Services"/>
              <w:listItem w:displayText="Economic Development " w:value="Economic Development "/>
              <w:listItem w:displayText="Engineering" w:value="Engineering"/>
              <w:listItem w:displayText="Facilities Management" w:value="Facilities Management"/>
              <w:listItem w:displayText="Financial Planning" w:value="Financial Planning"/>
              <w:listItem w:displayText="Fire" w:value="Fire"/>
              <w:listItem w:displayText="Fleet" w:value="Fleet"/>
              <w:listItem w:displayText="Gas and Water Utilities" w:value="Gas and Water Utilities"/>
              <w:listItem w:displayText="Human Resources" w:value="Human Resources"/>
              <w:listItem w:displayText="Insurance Pool" w:value="Insurance Pool"/>
              <w:listItem w:displayText="Legal Services" w:value="Legal Services"/>
              <w:listItem w:displayText="Legislated Services" w:value="Legislated Services"/>
              <w:listItem w:displayText="Neighbourhood Programs and Services" w:value="Neighbourhood Programs and Services"/>
              <w:listItem w:displayText="Office of the CFO" w:value="Office of the CFO"/>
              <w:listItem w:displayText="Office of the GM, Community Services" w:value="Office of the GM, Community Services"/>
              <w:listItem w:displayText="Office of the GM, Corporate Services" w:value="Office of the GM, Corporate Services"/>
              <w:listItem w:displayText="Office of the GM, Development Services" w:value="Office of the GM, Development Services"/>
              <w:listItem w:displayText="Office of the GM, Infrastructure Services" w:value="Office of the GM, Infrastructure Services"/>
              <w:listItem w:displayText="Operations - Roads and Traffic " w:value="Operations - Roads and Traffic "/>
              <w:listItem w:displayText="Parks and Cemeteries" w:value="Parks and Cemeteries"/>
              <w:listItem w:displayText="Planning" w:value="Planning"/>
              <w:listItem w:displayText="Revenue" w:value="Revenue"/>
              <w:listItem w:displayText="Sanitary and Stormwater Utilities" w:value="Sanitary and Stormwater Utilities"/>
              <w:listItem w:displayText="Sport" w:value="Sport"/>
              <w:listItem w:displayText="Technology Innovation and Services" w:value="Technology Innovation and Services"/>
              <w:listItem w:displayText="Transportation Services" w:value="Transportation Services"/>
              <w:listItem w:displayText="Procurement" w:value="Procurement"/>
            </w:dropDownList>
          </w:sdtPr>
          <w:sdtEndPr/>
          <w:sdtContent>
            <w:tc>
              <w:tcPr>
                <w:tcW w:w="2310" w:type="dxa"/>
                <w:tcBorders>
                  <w:top w:val="single" w:sz="4" w:space="0" w:color="144D29"/>
                  <w:left w:val="single" w:sz="6" w:space="0" w:color="auto"/>
                  <w:bottom w:val="single" w:sz="6" w:space="0" w:color="auto"/>
                  <w:right w:val="thinThickThinSmallGap" w:sz="18" w:space="0" w:color="144D29"/>
                </w:tcBorders>
              </w:tcPr>
              <w:p w14:paraId="67574161" w14:textId="58F7A8B7" w:rsidR="0045111F" w:rsidRPr="004424D2" w:rsidRDefault="008B2B86">
                <w:pPr>
                  <w:rPr>
                    <w:color w:val="144D29"/>
                  </w:rPr>
                </w:pPr>
                <w:r>
                  <w:rPr>
                    <w:color w:val="144D29"/>
                  </w:rPr>
                  <w:t>Revenue</w:t>
                </w:r>
              </w:p>
            </w:tc>
          </w:sdtContent>
        </w:sdt>
      </w:tr>
      <w:tr w:rsidR="00BE6138" w14:paraId="1338F6A6"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15E86643" w14:textId="77777777" w:rsidR="0045111F" w:rsidRPr="004424D2" w:rsidRDefault="0045111F">
            <w:pPr>
              <w:rPr>
                <w:b/>
                <w:color w:val="144D29"/>
              </w:rPr>
            </w:pPr>
            <w:r w:rsidRPr="004424D2">
              <w:rPr>
                <w:b/>
                <w:color w:val="144D29"/>
              </w:rPr>
              <w:t>Union Affiliation</w:t>
            </w:r>
          </w:p>
        </w:tc>
        <w:sdt>
          <w:sdtPr>
            <w:rPr>
              <w:color w:val="144D29"/>
            </w:rPr>
            <w:id w:val="2106833830"/>
            <w:placeholder>
              <w:docPart w:val="DefaultPlaceholder_-1854013438"/>
            </w:placeholder>
            <w:dropDownList>
              <w:listItem w:value="Choose an item."/>
              <w:listItem w:displayText="CUPE 68" w:value="CUPE 68"/>
              <w:listItem w:displayText="CUPE 68M" w:value="CUPE 68M"/>
              <w:listItem w:displayText="CUPE 791" w:value="CUPE 791"/>
              <w:listItem w:displayText="KPFFA" w:value="KPFFA"/>
              <w:listItem w:displayText="Non-Union/Management" w:value="Non-Union/Management"/>
              <w:listItem w:displayText="IBEW" w:value="IBEW"/>
            </w:dropDownList>
          </w:sdtPr>
          <w:sdtEndPr/>
          <w:sdtContent>
            <w:tc>
              <w:tcPr>
                <w:tcW w:w="2310" w:type="dxa"/>
                <w:tcBorders>
                  <w:top w:val="single" w:sz="6" w:space="0" w:color="auto"/>
                  <w:left w:val="single" w:sz="6" w:space="0" w:color="auto"/>
                  <w:bottom w:val="single" w:sz="6" w:space="0" w:color="auto"/>
                  <w:right w:val="single" w:sz="4" w:space="0" w:color="144D29"/>
                </w:tcBorders>
                <w:shd w:val="clear" w:color="auto" w:fill="auto"/>
              </w:tcPr>
              <w:p w14:paraId="0FA7E080" w14:textId="7FFAAA88" w:rsidR="0045111F" w:rsidRPr="004424D2" w:rsidRDefault="008B2B86">
                <w:pPr>
                  <w:rPr>
                    <w:color w:val="144D29"/>
                  </w:rPr>
                </w:pPr>
                <w:r>
                  <w:rPr>
                    <w:color w:val="144D29"/>
                  </w:rPr>
                  <w:t>CUPE 791</w:t>
                </w:r>
              </w:p>
            </w:tc>
          </w:sdtContent>
        </w:sdt>
        <w:tc>
          <w:tcPr>
            <w:tcW w:w="2310" w:type="dxa"/>
            <w:tcBorders>
              <w:top w:val="single" w:sz="6" w:space="0" w:color="auto"/>
              <w:left w:val="single" w:sz="4" w:space="0" w:color="144D29"/>
              <w:bottom w:val="single" w:sz="6" w:space="0" w:color="auto"/>
              <w:right w:val="single" w:sz="6" w:space="0" w:color="auto"/>
            </w:tcBorders>
            <w:shd w:val="clear" w:color="auto" w:fill="auto"/>
          </w:tcPr>
          <w:p w14:paraId="365C3EE8" w14:textId="77777777" w:rsidR="0045111F" w:rsidRPr="004424D2" w:rsidRDefault="00716B2D">
            <w:pPr>
              <w:rPr>
                <w:b/>
                <w:color w:val="144D29"/>
              </w:rPr>
            </w:pPr>
            <w:r>
              <w:rPr>
                <w:b/>
                <w:color w:val="144D29"/>
              </w:rPr>
              <w:t>Number of Positions</w:t>
            </w:r>
          </w:p>
        </w:tc>
        <w:tc>
          <w:tcPr>
            <w:tcW w:w="2310" w:type="dxa"/>
            <w:tcBorders>
              <w:top w:val="single" w:sz="6" w:space="0" w:color="auto"/>
              <w:left w:val="single" w:sz="6" w:space="0" w:color="auto"/>
              <w:bottom w:val="single" w:sz="6" w:space="0" w:color="auto"/>
              <w:right w:val="thinThickThinSmallGap" w:sz="18" w:space="0" w:color="144D29"/>
            </w:tcBorders>
          </w:tcPr>
          <w:p w14:paraId="0BE60ACC" w14:textId="4E6D1659" w:rsidR="0045111F" w:rsidRPr="004424D2" w:rsidRDefault="008B2B86">
            <w:pPr>
              <w:rPr>
                <w:color w:val="144D29"/>
              </w:rPr>
            </w:pPr>
            <w:r>
              <w:rPr>
                <w:color w:val="144D29"/>
              </w:rPr>
              <w:t>1</w:t>
            </w:r>
          </w:p>
        </w:tc>
      </w:tr>
      <w:tr w:rsidR="0045111F" w14:paraId="2AC3EA4A"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0B5AFD2C" w14:textId="77777777" w:rsidR="0045111F" w:rsidRPr="004424D2" w:rsidRDefault="0045111F">
            <w:pPr>
              <w:rPr>
                <w:b/>
                <w:color w:val="144D29"/>
              </w:rPr>
            </w:pPr>
            <w:r w:rsidRPr="004424D2">
              <w:rPr>
                <w:b/>
                <w:color w:val="144D29"/>
              </w:rPr>
              <w:t>Hours of Work</w:t>
            </w:r>
          </w:p>
        </w:tc>
        <w:tc>
          <w:tcPr>
            <w:tcW w:w="6930" w:type="dxa"/>
            <w:gridSpan w:val="3"/>
            <w:tcBorders>
              <w:top w:val="single" w:sz="4" w:space="0" w:color="144D29"/>
              <w:left w:val="single" w:sz="6" w:space="0" w:color="auto"/>
              <w:bottom w:val="single" w:sz="6" w:space="0" w:color="auto"/>
              <w:right w:val="thinThickThinSmallGap" w:sz="18" w:space="0" w:color="144D29"/>
            </w:tcBorders>
            <w:shd w:val="clear" w:color="auto" w:fill="auto"/>
          </w:tcPr>
          <w:p w14:paraId="3CAF43AC" w14:textId="499438C4" w:rsidR="0045111F" w:rsidRPr="004424D2" w:rsidRDefault="008B2B86">
            <w:pPr>
              <w:rPr>
                <w:color w:val="144D29"/>
              </w:rPr>
            </w:pPr>
            <w:r>
              <w:rPr>
                <w:color w:val="144D29"/>
              </w:rPr>
              <w:t xml:space="preserve">Monday – Friday </w:t>
            </w:r>
            <w:r w:rsidR="00F55835">
              <w:rPr>
                <w:color w:val="144D29"/>
              </w:rPr>
              <w:t>35 hours per week</w:t>
            </w:r>
          </w:p>
        </w:tc>
      </w:tr>
      <w:tr w:rsidR="0045111F" w14:paraId="495B0B11" w14:textId="77777777" w:rsidTr="00045EC3">
        <w:tc>
          <w:tcPr>
            <w:tcW w:w="9240" w:type="dxa"/>
            <w:gridSpan w:val="4"/>
            <w:tcBorders>
              <w:top w:val="single" w:sz="4" w:space="0" w:color="144D29"/>
              <w:left w:val="thinThickThinSmallGap" w:sz="18" w:space="0" w:color="144D29"/>
              <w:bottom w:val="single" w:sz="6" w:space="0" w:color="auto"/>
              <w:right w:val="thinThickThinSmallGap" w:sz="18" w:space="0" w:color="144D29"/>
            </w:tcBorders>
            <w:shd w:val="clear" w:color="auto" w:fill="auto"/>
          </w:tcPr>
          <w:p w14:paraId="38FFD354" w14:textId="77777777" w:rsidR="0045111F" w:rsidRPr="004424D2" w:rsidRDefault="005A6031" w:rsidP="005A6031">
            <w:pPr>
              <w:jc w:val="center"/>
              <w:rPr>
                <w:b/>
                <w:color w:val="144D29"/>
              </w:rPr>
            </w:pPr>
            <w:r w:rsidRPr="004424D2">
              <w:rPr>
                <w:b/>
                <w:color w:val="144D29"/>
              </w:rPr>
              <w:t>Location</w:t>
            </w:r>
          </w:p>
        </w:tc>
      </w:tr>
      <w:tr w:rsidR="005A6031" w14:paraId="452E8B98" w14:textId="77777777" w:rsidTr="00045EC3">
        <w:tc>
          <w:tcPr>
            <w:tcW w:w="2310" w:type="dxa"/>
            <w:tcBorders>
              <w:top w:val="single" w:sz="6" w:space="0" w:color="auto"/>
              <w:left w:val="thinThickThinSmallGap" w:sz="18" w:space="0" w:color="144D29"/>
              <w:bottom w:val="single" w:sz="6" w:space="0" w:color="auto"/>
              <w:right w:val="single" w:sz="6" w:space="0" w:color="auto"/>
            </w:tcBorders>
            <w:shd w:val="clear" w:color="auto" w:fill="auto"/>
          </w:tcPr>
          <w:p w14:paraId="44C464F1" w14:textId="77777777" w:rsidR="005A6031" w:rsidRPr="004424D2" w:rsidRDefault="005A6031">
            <w:pPr>
              <w:rPr>
                <w:b/>
                <w:color w:val="144D29"/>
              </w:rPr>
            </w:pPr>
            <w:r w:rsidRPr="004424D2">
              <w:rPr>
                <w:b/>
                <w:color w:val="144D29"/>
              </w:rPr>
              <w:t>Facility</w:t>
            </w:r>
          </w:p>
        </w:tc>
        <w:sdt>
          <w:sdtPr>
            <w:rPr>
              <w:rFonts w:ascii="Verdana" w:hAnsi="Verdana"/>
              <w:color w:val="144D29"/>
              <w:sz w:val="17"/>
              <w:szCs w:val="17"/>
            </w:rPr>
            <w:alias w:val="Location"/>
            <w:tag w:val="Location"/>
            <w:id w:val="130681728"/>
            <w:placeholder>
              <w:docPart w:val="342B6F959D9E47ADB5C2463477DFAD43"/>
            </w:placeholder>
            <w:dropDownList>
              <w:listItem w:value="Choose an item."/>
              <w:listItem w:displayText="City Hall" w:value="City Hall"/>
              <w:listItem w:displayText="Kitchener Operations Facility" w:value="Kitchener Operations Facility"/>
              <w:listItem w:displayText="Activa Sportsplex" w:value="Activa Sportsplex"/>
              <w:listItem w:displayText="Breithaupt Community Centre" w:value="Breithaupt Community Centre"/>
              <w:listItem w:displayText="Cameron Heights Pool" w:value="Cameron Heights Pool"/>
              <w:listItem w:displayText="Centerville Chicopee Community Centre" w:value="Centerville Chicopee Community Centre"/>
              <w:listItem w:displayText="Chandler Mowat Community Centre" w:value="Chandler Mowat Community Centre"/>
              <w:listItem w:displayText="County Hills Community Centre" w:value="County Hills Community Centre"/>
              <w:listItem w:displayText="Don McLaren Arena" w:value="Don McLaren Arena"/>
              <w:listItem w:displayText="Doon Pioneer Park Community Centre" w:value="Doon Pioneer Park Community Centre"/>
              <w:listItem w:displayText="Downton Community Centre" w:value="Downton Community Centre"/>
              <w:listItem w:displayText="Duke and Ontario - Bylaw Office" w:value="Duke and Ontario - Bylaw Office"/>
              <w:listItem w:displayText="Forest Heights Community Centre" w:value="Forest Heights Community Centre"/>
              <w:listItem w:displayText="Forest Heights Pool" w:value="Forest Heights Pool"/>
              <w:listItem w:displayText="Grand River Arena" w:value="Grand River Arena"/>
              <w:listItem w:displayText="Harry Class Outdoor Pool" w:value="Harry Class Outdoor Pool"/>
              <w:listItem w:displayText="Idlewood Outdoor Pool" w:value="Idlewood Outdoor Pool"/>
              <w:listItem w:displayText="Kingsdale Community Centre" w:value="Kingsdale Community Centre"/>
              <w:listItem w:displayText="Kiwanis Park and Pool" w:value="Kiwanis Park and Pool"/>
              <w:listItem w:displayText="Lions Arena" w:value="Lions Arena"/>
              <w:listItem w:displayText="Lyle Hallman Pool" w:value="Lyle Hallman Pool"/>
              <w:listItem w:displayText="Mill Courtland Community Centre" w:value="Mill Courtland Community Centre"/>
              <w:listItem w:displayText="Queensmount Arena" w:value="Queensmount Arena"/>
              <w:listItem w:displayText="Rockway Centre" w:value="Rockway Centre"/>
              <w:listItem w:displayText="Sportsworld Arena" w:value="Sportsworld Arena"/>
              <w:listItem w:displayText="Stanley Park Community Centre" w:value="Stanley Park Community Centre"/>
              <w:listItem w:displayText="The Aud" w:value="The Aud"/>
              <w:listItem w:displayText="Victoria Hills Community Centre" w:value="Victoria Hills Community Centre"/>
              <w:listItem w:displayText="Williamsburg Cemetery" w:value="Williamsburg Cemetery"/>
              <w:listItem w:displayText="Williamsburg Community Centre" w:value="Williamsburg Community Centre"/>
              <w:listItem w:displayText="Wilson Outdoor Pool" w:value="Wilson Outdoor Pool"/>
              <w:listItem w:displayText="Woodland Cemetery" w:value="Woodland Cemetery"/>
            </w:dropDownList>
          </w:sdtPr>
          <w:sdtEndPr/>
          <w:sdtContent>
            <w:tc>
              <w:tcPr>
                <w:tcW w:w="2310" w:type="dxa"/>
                <w:tcBorders>
                  <w:top w:val="single" w:sz="6" w:space="0" w:color="auto"/>
                  <w:left w:val="single" w:sz="6" w:space="0" w:color="auto"/>
                  <w:bottom w:val="single" w:sz="6" w:space="0" w:color="auto"/>
                  <w:right w:val="single" w:sz="6" w:space="0" w:color="auto"/>
                </w:tcBorders>
                <w:shd w:val="clear" w:color="auto" w:fill="auto"/>
              </w:tcPr>
              <w:p w14:paraId="3D613C41" w14:textId="03447C75" w:rsidR="005A6031" w:rsidRPr="004424D2" w:rsidRDefault="008B2B86">
                <w:pPr>
                  <w:rPr>
                    <w:color w:val="144D29"/>
                  </w:rPr>
                </w:pPr>
                <w:r>
                  <w:rPr>
                    <w:rFonts w:ascii="Verdana" w:hAnsi="Verdana"/>
                    <w:color w:val="144D29"/>
                    <w:sz w:val="17"/>
                    <w:szCs w:val="17"/>
                  </w:rPr>
                  <w:t>City Hall</w:t>
                </w:r>
              </w:p>
            </w:tc>
          </w:sdtContent>
        </w:sdt>
        <w:tc>
          <w:tcPr>
            <w:tcW w:w="2310" w:type="dxa"/>
            <w:tcBorders>
              <w:top w:val="single" w:sz="6" w:space="0" w:color="auto"/>
              <w:left w:val="single" w:sz="6" w:space="0" w:color="auto"/>
              <w:bottom w:val="single" w:sz="6" w:space="0" w:color="auto"/>
              <w:right w:val="single" w:sz="6" w:space="0" w:color="auto"/>
            </w:tcBorders>
            <w:shd w:val="clear" w:color="auto" w:fill="auto"/>
          </w:tcPr>
          <w:p w14:paraId="5651671F" w14:textId="77777777" w:rsidR="005A6031" w:rsidRPr="004424D2" w:rsidRDefault="005A6031">
            <w:pPr>
              <w:rPr>
                <w:b/>
                <w:color w:val="144D29"/>
              </w:rPr>
            </w:pPr>
            <w:r w:rsidRPr="004424D2">
              <w:rPr>
                <w:b/>
                <w:color w:val="144D29"/>
              </w:rPr>
              <w:t>City</w:t>
            </w:r>
          </w:p>
        </w:tc>
        <w:tc>
          <w:tcPr>
            <w:tcW w:w="2310" w:type="dxa"/>
            <w:tcBorders>
              <w:top w:val="single" w:sz="6" w:space="0" w:color="auto"/>
              <w:left w:val="single" w:sz="6" w:space="0" w:color="auto"/>
              <w:bottom w:val="single" w:sz="6" w:space="0" w:color="auto"/>
              <w:right w:val="thinThickThinSmallGap" w:sz="18" w:space="0" w:color="144D29"/>
            </w:tcBorders>
          </w:tcPr>
          <w:p w14:paraId="0BEE047B" w14:textId="77777777" w:rsidR="005A6031" w:rsidRPr="004424D2" w:rsidRDefault="005A6031">
            <w:pPr>
              <w:rPr>
                <w:color w:val="144D29"/>
              </w:rPr>
            </w:pPr>
            <w:r w:rsidRPr="004424D2">
              <w:rPr>
                <w:color w:val="144D29"/>
              </w:rPr>
              <w:t>Kitchener</w:t>
            </w:r>
          </w:p>
        </w:tc>
      </w:tr>
      <w:tr w:rsidR="0045111F" w14:paraId="2513657C" w14:textId="77777777" w:rsidTr="00045EC3">
        <w:tc>
          <w:tcPr>
            <w:tcW w:w="9240" w:type="dxa"/>
            <w:gridSpan w:val="4"/>
            <w:tcBorders>
              <w:top w:val="single" w:sz="6" w:space="0" w:color="auto"/>
              <w:left w:val="thinThickThinSmallGap" w:sz="18" w:space="0" w:color="144D29"/>
              <w:bottom w:val="single" w:sz="6" w:space="0" w:color="auto"/>
              <w:right w:val="thinThickThinSmallGap" w:sz="18" w:space="0" w:color="144D29"/>
            </w:tcBorders>
            <w:shd w:val="clear" w:color="auto" w:fill="auto"/>
          </w:tcPr>
          <w:p w14:paraId="25AE26CE" w14:textId="77777777" w:rsidR="0045111F" w:rsidRPr="004424D2" w:rsidRDefault="005A6031" w:rsidP="005A6031">
            <w:pPr>
              <w:jc w:val="center"/>
              <w:rPr>
                <w:b/>
                <w:color w:val="144D29"/>
              </w:rPr>
            </w:pPr>
            <w:r w:rsidRPr="004424D2">
              <w:rPr>
                <w:b/>
                <w:color w:val="144D29"/>
              </w:rPr>
              <w:t>Compensation</w:t>
            </w:r>
          </w:p>
        </w:tc>
      </w:tr>
      <w:tr w:rsidR="005A6031" w14:paraId="1183BB65" w14:textId="77777777" w:rsidTr="00045EC3">
        <w:tc>
          <w:tcPr>
            <w:tcW w:w="2310" w:type="dxa"/>
            <w:tcBorders>
              <w:top w:val="single" w:sz="6" w:space="0" w:color="auto"/>
              <w:left w:val="thinThickThinSmallGap" w:sz="18" w:space="0" w:color="144D29"/>
              <w:bottom w:val="thinThickThinSmallGap" w:sz="18" w:space="0" w:color="144D29"/>
              <w:right w:val="single" w:sz="6" w:space="0" w:color="auto"/>
            </w:tcBorders>
            <w:shd w:val="clear" w:color="auto" w:fill="auto"/>
          </w:tcPr>
          <w:p w14:paraId="742905CF" w14:textId="77777777" w:rsidR="005A6031" w:rsidRPr="004424D2" w:rsidRDefault="005A6031">
            <w:pPr>
              <w:rPr>
                <w:b/>
                <w:color w:val="144D29"/>
              </w:rPr>
            </w:pPr>
            <w:r w:rsidRPr="004424D2">
              <w:rPr>
                <w:b/>
                <w:color w:val="144D29"/>
              </w:rPr>
              <w:t>Salary Range</w:t>
            </w:r>
          </w:p>
        </w:tc>
        <w:tc>
          <w:tcPr>
            <w:tcW w:w="2310" w:type="dxa"/>
            <w:tcBorders>
              <w:top w:val="single" w:sz="6" w:space="0" w:color="auto"/>
              <w:left w:val="single" w:sz="6" w:space="0" w:color="auto"/>
              <w:bottom w:val="thinThickThinSmallGap" w:sz="18" w:space="0" w:color="144D29"/>
              <w:right w:val="single" w:sz="6" w:space="0" w:color="auto"/>
            </w:tcBorders>
            <w:shd w:val="clear" w:color="auto" w:fill="auto"/>
          </w:tcPr>
          <w:p w14:paraId="64D0C624" w14:textId="07AC5078" w:rsidR="005A6031" w:rsidRPr="004424D2" w:rsidRDefault="008B2B86">
            <w:pPr>
              <w:rPr>
                <w:color w:val="144D29"/>
              </w:rPr>
            </w:pPr>
            <w:r>
              <w:rPr>
                <w:color w:val="144D29"/>
              </w:rPr>
              <w:t>$</w:t>
            </w:r>
            <w:r w:rsidR="00915EF5" w:rsidRPr="00915EF5">
              <w:rPr>
                <w:color w:val="144D29"/>
              </w:rPr>
              <w:t>70,436</w:t>
            </w:r>
            <w:r w:rsidR="00915EF5">
              <w:rPr>
                <w:color w:val="144D29"/>
              </w:rPr>
              <w:t xml:space="preserve"> </w:t>
            </w:r>
            <w:r>
              <w:rPr>
                <w:color w:val="144D29"/>
              </w:rPr>
              <w:t>- $</w:t>
            </w:r>
            <w:r w:rsidR="00915EF5">
              <w:rPr>
                <w:color w:val="144D29"/>
              </w:rPr>
              <w:t>88,045</w:t>
            </w:r>
          </w:p>
        </w:tc>
        <w:tc>
          <w:tcPr>
            <w:tcW w:w="2310" w:type="dxa"/>
            <w:tcBorders>
              <w:top w:val="single" w:sz="6" w:space="0" w:color="auto"/>
              <w:left w:val="single" w:sz="6" w:space="0" w:color="auto"/>
              <w:bottom w:val="thinThickThinSmallGap" w:sz="18" w:space="0" w:color="144D29"/>
              <w:right w:val="single" w:sz="6" w:space="0" w:color="auto"/>
            </w:tcBorders>
            <w:shd w:val="clear" w:color="auto" w:fill="auto"/>
          </w:tcPr>
          <w:p w14:paraId="384E3B4E" w14:textId="77777777" w:rsidR="005A6031" w:rsidRPr="004424D2" w:rsidRDefault="00BE6138">
            <w:pPr>
              <w:rPr>
                <w:b/>
                <w:color w:val="144D29"/>
              </w:rPr>
            </w:pPr>
            <w:r w:rsidRPr="004424D2">
              <w:rPr>
                <w:b/>
                <w:color w:val="144D29"/>
              </w:rPr>
              <w:t>Grade/Band</w:t>
            </w:r>
          </w:p>
        </w:tc>
        <w:tc>
          <w:tcPr>
            <w:tcW w:w="2310" w:type="dxa"/>
            <w:tcBorders>
              <w:top w:val="single" w:sz="6" w:space="0" w:color="auto"/>
              <w:left w:val="single" w:sz="6" w:space="0" w:color="auto"/>
              <w:bottom w:val="thinThickThinSmallGap" w:sz="18" w:space="0" w:color="144D29"/>
              <w:right w:val="thinThickThinSmallGap" w:sz="18" w:space="0" w:color="144D29"/>
            </w:tcBorders>
          </w:tcPr>
          <w:p w14:paraId="2C45EC37" w14:textId="5AEAD2D2" w:rsidR="005A6031" w:rsidRPr="004424D2" w:rsidRDefault="00CD1100">
            <w:pPr>
              <w:rPr>
                <w:color w:val="144D29"/>
              </w:rPr>
            </w:pPr>
            <w:r>
              <w:rPr>
                <w:color w:val="144D29"/>
              </w:rPr>
              <w:t>9 (under review)</w:t>
            </w:r>
          </w:p>
        </w:tc>
      </w:tr>
    </w:tbl>
    <w:p w14:paraId="05B8DB20" w14:textId="77777777" w:rsidR="004C033E" w:rsidRDefault="004C033E"/>
    <w:sectPr w:rsidR="004C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11AC"/>
    <w:multiLevelType w:val="multilevel"/>
    <w:tmpl w:val="6E1E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D617A"/>
    <w:multiLevelType w:val="multilevel"/>
    <w:tmpl w:val="BF32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60DEF"/>
    <w:multiLevelType w:val="multilevel"/>
    <w:tmpl w:val="71E03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1F"/>
    <w:rsid w:val="00005769"/>
    <w:rsid w:val="00045EC3"/>
    <w:rsid w:val="000F61DD"/>
    <w:rsid w:val="001476B0"/>
    <w:rsid w:val="00153911"/>
    <w:rsid w:val="001B5385"/>
    <w:rsid w:val="001C0B3F"/>
    <w:rsid w:val="002F4FE0"/>
    <w:rsid w:val="003F44B0"/>
    <w:rsid w:val="004424D2"/>
    <w:rsid w:val="0045111F"/>
    <w:rsid w:val="0045387C"/>
    <w:rsid w:val="004C033E"/>
    <w:rsid w:val="00507971"/>
    <w:rsid w:val="00571AAB"/>
    <w:rsid w:val="00590165"/>
    <w:rsid w:val="005A6031"/>
    <w:rsid w:val="00714C49"/>
    <w:rsid w:val="00716B2D"/>
    <w:rsid w:val="0087737B"/>
    <w:rsid w:val="008B2B86"/>
    <w:rsid w:val="00915EF5"/>
    <w:rsid w:val="009160B4"/>
    <w:rsid w:val="00B25F01"/>
    <w:rsid w:val="00BE6138"/>
    <w:rsid w:val="00C002C6"/>
    <w:rsid w:val="00C170C3"/>
    <w:rsid w:val="00CD1100"/>
    <w:rsid w:val="00CF6FEC"/>
    <w:rsid w:val="00D75DB0"/>
    <w:rsid w:val="00F37B98"/>
    <w:rsid w:val="00F55835"/>
    <w:rsid w:val="00F826DB"/>
    <w:rsid w:val="00FF0302"/>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C99"/>
  <w15:chartTrackingRefBased/>
  <w15:docId w15:val="{9864D9E1-1963-43D5-9566-8855847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111F"/>
    <w:rPr>
      <w:i/>
      <w:iCs/>
    </w:rPr>
  </w:style>
  <w:style w:type="character" w:styleId="PlaceholderText">
    <w:name w:val="Placeholder Text"/>
    <w:basedOn w:val="DefaultParagraphFont"/>
    <w:uiPriority w:val="99"/>
    <w:semiHidden/>
    <w:rsid w:val="005A6031"/>
    <w:rPr>
      <w:color w:val="808080"/>
    </w:rPr>
  </w:style>
  <w:style w:type="paragraph" w:styleId="ListParagraph">
    <w:name w:val="List Paragraph"/>
    <w:basedOn w:val="Normal"/>
    <w:uiPriority w:val="34"/>
    <w:qFormat/>
    <w:rsid w:val="009160B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2B6F959D9E47ADB5C2463477DFAD43"/>
        <w:category>
          <w:name w:val="General"/>
          <w:gallery w:val="placeholder"/>
        </w:category>
        <w:types>
          <w:type w:val="bbPlcHdr"/>
        </w:types>
        <w:behaviors>
          <w:behavior w:val="content"/>
        </w:behaviors>
        <w:guid w:val="{4315B31D-8E17-4041-9FA2-9F900AF17A07}"/>
      </w:docPartPr>
      <w:docPartBody>
        <w:p w:rsidR="008D2A90" w:rsidRDefault="00A45DCD" w:rsidP="00A45DCD">
          <w:pPr>
            <w:pStyle w:val="342B6F959D9E47ADB5C2463477DFAD43"/>
          </w:pPr>
          <w:r w:rsidRPr="00F8060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4936BF1-C464-476D-A05B-71A93D9106A6}"/>
      </w:docPartPr>
      <w:docPartBody>
        <w:p w:rsidR="008D2A90" w:rsidRDefault="00A45DCD">
          <w:r w:rsidRPr="005152B1">
            <w:rPr>
              <w:rStyle w:val="PlaceholderText"/>
            </w:rPr>
            <w:t>Choose an item.</w:t>
          </w:r>
        </w:p>
      </w:docPartBody>
    </w:docPart>
    <w:docPart>
      <w:docPartPr>
        <w:name w:val="B8CDDFF4920749DCB4667A6509D14C4A"/>
        <w:category>
          <w:name w:val="General"/>
          <w:gallery w:val="placeholder"/>
        </w:category>
        <w:types>
          <w:type w:val="bbPlcHdr"/>
        </w:types>
        <w:behaviors>
          <w:behavior w:val="content"/>
        </w:behaviors>
        <w:guid w:val="{39308F5A-8590-4BEF-A9B8-0073D016DE01}"/>
      </w:docPartPr>
      <w:docPartBody>
        <w:p w:rsidR="00173DF7" w:rsidRDefault="00397BF0" w:rsidP="00397BF0">
          <w:pPr>
            <w:pStyle w:val="B8CDDFF4920749DCB4667A6509D14C4A"/>
          </w:pPr>
          <w:r w:rsidRPr="005152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CD"/>
    <w:rsid w:val="00173DF7"/>
    <w:rsid w:val="00397BF0"/>
    <w:rsid w:val="008D2A90"/>
    <w:rsid w:val="00A4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BF0"/>
    <w:rPr>
      <w:color w:val="808080"/>
    </w:rPr>
  </w:style>
  <w:style w:type="paragraph" w:customStyle="1" w:styleId="342B6F959D9E47ADB5C2463477DFAD43">
    <w:name w:val="342B6F959D9E47ADB5C2463477DFAD43"/>
    <w:rsid w:val="00A45DCD"/>
  </w:style>
  <w:style w:type="paragraph" w:customStyle="1" w:styleId="604E715C9F64436B870A4E6E5B2AC7AB">
    <w:name w:val="604E715C9F64436B870A4E6E5B2AC7AB"/>
    <w:rsid w:val="00397BF0"/>
  </w:style>
  <w:style w:type="paragraph" w:customStyle="1" w:styleId="BFF4CE6A70C74F2BAB8432DAFF20EFF4">
    <w:name w:val="BFF4CE6A70C74F2BAB8432DAFF20EFF4"/>
    <w:rsid w:val="00397BF0"/>
  </w:style>
  <w:style w:type="paragraph" w:customStyle="1" w:styleId="98681A66485A4FAD8CF00509172EFD29">
    <w:name w:val="98681A66485A4FAD8CF00509172EFD29"/>
    <w:rsid w:val="00397BF0"/>
  </w:style>
  <w:style w:type="paragraph" w:customStyle="1" w:styleId="B8CDDFF4920749DCB4667A6509D14C4A">
    <w:name w:val="B8CDDFF4920749DCB4667A6509D14C4A"/>
    <w:rsid w:val="0039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D16C-2637-4870-9219-736B2BCB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Kitchener</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Pendergast</dc:creator>
  <cp:keywords/>
  <dc:description/>
  <cp:lastModifiedBy>Daniel Liu</cp:lastModifiedBy>
  <cp:revision>5</cp:revision>
  <dcterms:created xsi:type="dcterms:W3CDTF">2021-07-09T16:03:00Z</dcterms:created>
  <dcterms:modified xsi:type="dcterms:W3CDTF">2021-07-19T14:04:00Z</dcterms:modified>
</cp:coreProperties>
</file>