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6A" w:rsidRPr="001B4737" w:rsidRDefault="004935EF" w:rsidP="001B4737">
      <w:pPr>
        <w:jc w:val="center"/>
        <w:rPr>
          <w:rFonts w:cstheme="minorHAnsi"/>
          <w:b/>
          <w:sz w:val="28"/>
          <w:szCs w:val="16"/>
        </w:rPr>
      </w:pPr>
      <w:r w:rsidRPr="001B4737">
        <w:rPr>
          <w:rFonts w:cstheme="minorHAnsi"/>
          <w:b/>
          <w:sz w:val="28"/>
          <w:szCs w:val="16"/>
        </w:rPr>
        <w:t xml:space="preserve">MANDATORY CLAUSES – </w:t>
      </w:r>
      <w:r w:rsidR="007B6C55" w:rsidRPr="001B4737">
        <w:rPr>
          <w:rFonts w:cstheme="minorHAnsi"/>
          <w:b/>
          <w:sz w:val="28"/>
          <w:szCs w:val="16"/>
        </w:rPr>
        <w:t>DESKTOP &amp; DRIVE</w:t>
      </w:r>
      <w:r w:rsidR="00A17A2D">
        <w:rPr>
          <w:rFonts w:cstheme="minorHAnsi"/>
          <w:b/>
          <w:sz w:val="28"/>
          <w:szCs w:val="16"/>
        </w:rPr>
        <w:t>-</w:t>
      </w:r>
      <w:r w:rsidR="007B6C55" w:rsidRPr="001B4737">
        <w:rPr>
          <w:rFonts w:cstheme="minorHAnsi"/>
          <w:b/>
          <w:sz w:val="28"/>
          <w:szCs w:val="16"/>
        </w:rPr>
        <w:t>BY RESIDENTIAL REPORTS</w:t>
      </w:r>
    </w:p>
    <w:p w:rsidR="00B6273C" w:rsidRDefault="00B6273C">
      <w:pPr>
        <w:rPr>
          <w:rFonts w:ascii="ArialNarrow" w:hAnsi="ArialNarrow" w:cs="ArialNarrow"/>
          <w:sz w:val="16"/>
          <w:szCs w:val="16"/>
        </w:rPr>
      </w:pPr>
    </w:p>
    <w:p w:rsidR="004935EF" w:rsidRPr="004935EF" w:rsidRDefault="004935EF" w:rsidP="004935EF">
      <w:pPr>
        <w:rPr>
          <w:rFonts w:ascii="ArialNarrow" w:hAnsi="ArialNarrow" w:cs="ArialNarrow"/>
          <w:b/>
          <w:szCs w:val="16"/>
        </w:rPr>
      </w:pPr>
      <w:r w:rsidRPr="004935EF">
        <w:rPr>
          <w:rFonts w:ascii="ArialNarrow" w:hAnsi="ArialNarrow" w:cs="ArialNarrow"/>
          <w:b/>
          <w:szCs w:val="16"/>
        </w:rPr>
        <w:t>ASSUMPTIONS, LIMITING CONDITIONS, DISCLAIMERS AND LIMITATIONS OF LIABILITY</w:t>
      </w:r>
    </w:p>
    <w:p w:rsidR="004935EF" w:rsidRPr="004935EF" w:rsidRDefault="004935EF" w:rsidP="004935EF">
      <w:pPr>
        <w:widowControl w:val="0"/>
        <w:spacing w:before="120" w:after="120" w:line="320" w:lineRule="exact"/>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certification that appears in this report is subject to compliance with the Personal Information and Electronics Documents Act (PIPEDA), Canadian Uniform Standards of Professional Appraisal Practice (“CUSPAP”) and the following conditions:</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is prepared only for the client and authorized users specifically identified in this report and only for the specific use identified herein.  No other person may rely on this report or any part of this report without first obtaining consent from the client and written authorization from the authors.  Liability is expressly denied to any other person and, accordingly, no responsibility is accepted for any damage suffered by any other person as a result of decisions made or actions taken based on this report.  Liability is expressly denied for any unauthorized user or for anyone who uses this report for any use not specifically identified in this report.  Payment of the appraisal fee has no effect on liability.  Reliance on this report without authorization or for an unauthorized use is unreasonable.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Because market conditions, including economic, social and political factors, may change rapidly and, on occasion, without warning, this report cannot be relied upon as of any date other than the effective date specified in this report unless specifically authorized by the author(s).</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author will not be responsible for matters of a legal nature that affect either the property being appraised or the title to it. The property is appraised on the basis of it being under responsible ownership. No registry office search has been performed and the author assumes that the title is good and marketable and free and clear of all encumbrances. Matters of a legal nature, including confirming who holds legal title to the appraised property or any portion of the appraised property, are outside the scope of work and expertise of the appraiser. Any information regarding the identity of a property’s owner or identifying the property owned by the listed client and/or applicant provided by the appraiser is for informational purposes only and any reliance on such information is unreasonable. Any information provided by the appraiser does not constitute any title confirmation. Any information provided does not negate the need to retain a real estate lawyer, surveyor or other appropriate experts to verify matters of ownership and/or title.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Verification of compliance with governmental regulations, bylaws or statutes is outside the scope of work and expertise of the appraiser. Any information provided by the appraiser is for informational purposes only and any reliance is unreasonable. Any information provided by the appraiser does not negate the need to retain an appropriately qualified professional to determine government regulation compliance. </w:t>
      </w:r>
    </w:p>
    <w:p w:rsidR="004935EF" w:rsidRPr="004935EF" w:rsidDel="00885D7B"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sidDel="00885D7B">
        <w:rPr>
          <w:rFonts w:eastAsia="Times New Roman" w:cstheme="minorHAnsi"/>
          <w:color w:val="000000"/>
          <w:kern w:val="28"/>
          <w:sz w:val="24"/>
          <w:szCs w:val="24"/>
          <w14:cntxtAlts/>
        </w:rPr>
        <w:t xml:space="preserve">No survey of the property has been made. </w:t>
      </w:r>
      <w:r w:rsidRPr="004935EF">
        <w:rPr>
          <w:rFonts w:eastAsia="Times New Roman" w:cstheme="minorHAnsi"/>
          <w:color w:val="000000"/>
          <w:kern w:val="28"/>
          <w:sz w:val="24"/>
          <w:szCs w:val="24"/>
          <w14:cntxtAlts/>
        </w:rPr>
        <w:t xml:space="preserve"> </w:t>
      </w:r>
      <w:r w:rsidRPr="004935EF" w:rsidDel="00885D7B">
        <w:rPr>
          <w:rFonts w:eastAsia="Times New Roman" w:cstheme="minorHAnsi"/>
          <w:color w:val="000000"/>
          <w:kern w:val="28"/>
          <w:sz w:val="24"/>
          <w:szCs w:val="24"/>
          <w14:cntxtAlts/>
        </w:rPr>
        <w:t>Any sketch in th</w:t>
      </w:r>
      <w:r w:rsidRPr="004935EF">
        <w:rPr>
          <w:rFonts w:eastAsia="Times New Roman" w:cstheme="minorHAnsi"/>
          <w:color w:val="000000"/>
          <w:kern w:val="28"/>
          <w:sz w:val="24"/>
          <w:szCs w:val="24"/>
          <w14:cntxtAlts/>
        </w:rPr>
        <w:t>is</w:t>
      </w:r>
      <w:r w:rsidRPr="004935EF" w:rsidDel="00885D7B">
        <w:rPr>
          <w:rFonts w:eastAsia="Times New Roman" w:cstheme="minorHAnsi"/>
          <w:color w:val="000000"/>
          <w:kern w:val="28"/>
          <w:sz w:val="24"/>
          <w:szCs w:val="24"/>
          <w14:cntxtAlts/>
        </w:rPr>
        <w:t xml:space="preserve"> report shows approximate </w:t>
      </w:r>
      <w:r w:rsidRPr="004935EF" w:rsidDel="00885D7B">
        <w:rPr>
          <w:rFonts w:eastAsia="Times New Roman" w:cstheme="minorHAnsi"/>
          <w:color w:val="000000"/>
          <w:kern w:val="28"/>
          <w:sz w:val="24"/>
          <w:szCs w:val="24"/>
          <w14:cntxtAlts/>
        </w:rPr>
        <w:lastRenderedPageBreak/>
        <w:t>dimensions and is included only to assist the reader of th</w:t>
      </w:r>
      <w:r w:rsidRPr="004935EF">
        <w:rPr>
          <w:rFonts w:eastAsia="Times New Roman" w:cstheme="minorHAnsi"/>
          <w:color w:val="000000"/>
          <w:kern w:val="28"/>
          <w:sz w:val="24"/>
          <w:szCs w:val="24"/>
          <w14:cntxtAlts/>
        </w:rPr>
        <w:t>is</w:t>
      </w:r>
      <w:r w:rsidRPr="004935EF" w:rsidDel="00885D7B">
        <w:rPr>
          <w:rFonts w:eastAsia="Times New Roman" w:cstheme="minorHAnsi"/>
          <w:color w:val="000000"/>
          <w:kern w:val="28"/>
          <w:sz w:val="24"/>
          <w:szCs w:val="24"/>
          <w14:cntxtAlts/>
        </w:rPr>
        <w:t xml:space="preserve"> report in visualizing the property.</w:t>
      </w:r>
      <w:r w:rsidRPr="004935EF">
        <w:rPr>
          <w:rFonts w:eastAsia="Times New Roman" w:cstheme="minorHAnsi"/>
          <w:color w:val="000000"/>
          <w:kern w:val="28"/>
          <w:sz w:val="24"/>
          <w:szCs w:val="24"/>
          <w14:cntxtAlts/>
        </w:rPr>
        <w:t xml:space="preserve">  It is unreasonable to rely on this report as an alternative to a survey, and an accredited surveyor ought to be retained for such matters.</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This report is completed on the basis that testimony or appearance in court concerning this report is not required unless specific arrangements to do so have been made beforehand.  Such arrangements will include, but not necessarily be limited to: adequate time to review the report and related data, and the provision of appropriate compensation.</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Unless otherwise stated in this report, the author has no knowledge of any hidden or unapparent conditions (including, but not limited to: its soils, physical structure, mechanical or other operating systems, foundation, etc.) of/on the subject property</w:t>
      </w:r>
      <w:r w:rsidRPr="004935EF" w:rsidDel="00C46747">
        <w:rPr>
          <w:rFonts w:eastAsia="Times New Roman" w:cstheme="minorHAnsi"/>
          <w:color w:val="000000"/>
          <w:kern w:val="28"/>
          <w:sz w:val="24"/>
          <w:szCs w:val="24"/>
          <w14:cntxtAlts/>
        </w:rPr>
        <w:t xml:space="preserve"> </w:t>
      </w:r>
      <w:r w:rsidRPr="004935EF">
        <w:rPr>
          <w:rFonts w:eastAsia="Times New Roman" w:cstheme="minorHAnsi"/>
          <w:color w:val="000000"/>
          <w:kern w:val="28"/>
          <w:sz w:val="24"/>
          <w:szCs w:val="24"/>
          <w14:cntxtAlts/>
        </w:rPr>
        <w:t xml:space="preserve">or of/on a neighbouring property that could affect the value of the subject property.  It has been assumed that there are no such conditions.  Any such conditions that were visibly apparent at the time of inspection or that became apparent during the normal research involved in completing the report have been noted in the report.  This report should not be construed as an environmental audit or detailed property condition report, as such reporting is beyond the scope of this report and/or the qualifications of the author.  The author makes no guarantees or warranties, express or implied, regarding the condition of the property, and will not be responsible for any such conditions that do exist or for any engineering or testing that might be required to discover whether such conditions exist.  The bearing capacity of the soil is assumed to be adequate.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lang w:val="en-CA"/>
          <w14:cntxtAlts/>
        </w:rPr>
        <w:t xml:space="preserve">The author is not qualified to comment on detrimental conditions that may affect the market value of the property appraised, including but not limited to pollution or contamination of land, buildings, water, groundwater or air which may include but are not limited to: moulds or mildews or the conditions that might give rise to either.  </w:t>
      </w:r>
      <w:r w:rsidRPr="004935EF">
        <w:rPr>
          <w:rFonts w:eastAsia="Times New Roman" w:cstheme="minorHAnsi"/>
          <w:color w:val="000000"/>
          <w:kern w:val="28"/>
          <w:sz w:val="24"/>
          <w:szCs w:val="24"/>
          <w14:cntxtAlts/>
        </w:rPr>
        <w:t>Any such conditions that were visibly apparent at the time of inspection or that became apparent during the normal research involved in completing the report have been noted in the report</w:t>
      </w:r>
      <w:r w:rsidRPr="004935EF">
        <w:rPr>
          <w:rFonts w:eastAsia="Times New Roman" w:cstheme="minorHAnsi"/>
          <w:color w:val="000000"/>
          <w:kern w:val="28"/>
          <w:sz w:val="24"/>
          <w:szCs w:val="24"/>
          <w:lang w:val="en-CA"/>
          <w14:cntxtAlts/>
        </w:rPr>
        <w:t>, and in compliance with all regulatory environmental requirements, government or otherwise, and free of any detrimental condition, past, present or future, that might affect the market value of the property appraised.  If a party relying on this report requires information about detrimental conditions, that party is cautioned to retain an expert qualified in such issues.  The author expressly denies any legal liability relating to the effect of detrimental conditions on the market value of the subject property.</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analyses set out in this report relied on written and verbal information obtained from a variety of sources the author considered reliable.  Unless otherwise stated herein, the author did not verify client-supplied information, which the author believed to be correct.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term “inspection” refers to observation only as defined by CUSPAP and reporting of the general material finishing and conditions observed for the purposes of a standard appraisal inspection.  The inspection scope of work includes the identification of marketable characteristics/amenities offered for comparison and valuation purposes only.</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lastRenderedPageBreak/>
        <w:t xml:space="preserve">The opinions of value and other conclusions contained herein assume satisfactory completion of any work remaining to be completed in a good and workmanlike manner.  Further inspection may be required to confirm completion of such work.  The author has not confirmed that all mandatory building inspections have been completed to date, nor has the availability/issuance of an occupancy permit been confirmed.  The author has not evaluated the quality of construction, workmanship or materials.  It should be clearly understood that this visual inspection does not imply compliance with any building code requirements as this is beyond the professional expertise of the author.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contents of this report are confidential and will not be disclosed by the author to any party except as provided for by the provisions of the CUSPAP and/or when properly entered into evidence of a duly qualified judicial or quasi-judicial body.  </w:t>
      </w:r>
      <w:r w:rsidRPr="004935EF">
        <w:rPr>
          <w:rFonts w:eastAsia="Times New Roman" w:cstheme="minorHAnsi"/>
          <w:color w:val="000000"/>
          <w:kern w:val="28"/>
          <w:sz w:val="24"/>
          <w:szCs w:val="24"/>
          <w:lang w:val="en-CA"/>
          <w14:cntxtAlts/>
        </w:rPr>
        <w:t>The author acknowledges that the information collected herein is personal and confidential and shall not use or disclose the contents of this report except as provided for in the provisions of the CUSPAP and in accordance with the author’s privacy policy.  The client agrees that in accepting this report, it shall maintain the confidentiality and privacy of any personal information contained herein and shall comply in all material respects with the contents of the author's privacy policy and in accordance with the PIPEDA.</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author has agreed to enter into the assignment as requested by the client named in this report for the use specified by the client, which is stated in this report.  The client has agreed that the performance of this report and the format are appropriate for the intended use.</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its content and all attachments/addendums and their content are the property of the author.  The client, authorized users and any appraisal facilitator are prohibited, strictly forbidden, and no permission is expressly or implicitly granted or deemed to be granted, to modify, alter, merge, publish (in whole or in part) screen scrape, database scrape, exploit, reproduce, decompile, reassemble or participate in any other activity intended to separate, collect, store, reorganize, scan, copy, manipulate electronically, digitally, manually or by any other means whatsoever this appraisal report, addendum, all attachments and the data contained within for any commercial, or other, use.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lang w:val="en-CA"/>
          <w14:cntxtAlts/>
        </w:rPr>
        <w:t>If transmitted electronically, this report will have been digitally signed and secured with personal passwords to lock the appraisal file.  Due to the possibility of digital modification, only originally signed reports and those reports sent directly by the author can be reasonably relied upon</w:t>
      </w:r>
      <w:r w:rsidRPr="004935EF">
        <w:rPr>
          <w:rFonts w:eastAsia="Times New Roman" w:cstheme="minorHAnsi"/>
          <w:color w:val="000000"/>
          <w:kern w:val="28"/>
          <w:sz w:val="24"/>
          <w:szCs w:val="24"/>
          <w14:cntxtAlts/>
        </w:rPr>
        <w:t>.</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form is the property of the Appraisal Institute of Canada (AIC) and for use only by AIC members in good standing.  Use by any other person is a violation of AIC copyright. </w:t>
      </w:r>
    </w:p>
    <w:p w:rsidR="004935EF" w:rsidRDefault="004935EF" w:rsidP="004935EF">
      <w:pPr>
        <w:pStyle w:val="ListParagraph"/>
        <w:widowControl w:val="0"/>
        <w:numPr>
          <w:ilvl w:val="0"/>
          <w:numId w:val="1"/>
        </w:numPr>
        <w:ind w:left="360"/>
        <w:jc w:val="both"/>
        <w:rPr>
          <w:rFonts w:cstheme="minorHAnsi"/>
          <w:color w:val="000000"/>
          <w:kern w:val="28"/>
          <w14:cntxtAlts/>
        </w:rPr>
      </w:pPr>
      <w:r w:rsidRPr="00864718">
        <w:rPr>
          <w:rFonts w:cstheme="minorHAnsi"/>
          <w:color w:val="000000"/>
          <w:kern w:val="28"/>
          <w14:cntxtAlts/>
        </w:rPr>
        <w:t>Where the intended use of this report is for financing or mortgage lending or mortgage insurance, it is a condition of reliance on this report that the authorized user has or will conduct lending, underwriting and insurance underwriting and rigorous due diligence in accordance with the standards of a reasonable and prudent l</w:t>
      </w:r>
      <w:bookmarkStart w:id="0" w:name="_GoBack"/>
      <w:bookmarkEnd w:id="0"/>
      <w:r w:rsidRPr="00864718">
        <w:rPr>
          <w:rFonts w:cstheme="minorHAnsi"/>
          <w:color w:val="000000"/>
          <w:kern w:val="28"/>
          <w14:cntxtAlts/>
        </w:rPr>
        <w:t xml:space="preserve">ender or insurer, including but </w:t>
      </w:r>
      <w:r w:rsidRPr="00864718">
        <w:rPr>
          <w:rFonts w:cstheme="minorHAnsi"/>
          <w:color w:val="000000"/>
          <w:kern w:val="28"/>
          <w14:cntxtAlts/>
        </w:rPr>
        <w:lastRenderedPageBreak/>
        <w:t xml:space="preserve">not limited to ensuring the borrower’s demonstrated willingness and capacity to service his/her debt obligations on a timely basis, and to conduct loan underwriting or insuring due diligence </w:t>
      </w:r>
      <w:r>
        <w:rPr>
          <w:rFonts w:cstheme="minorHAnsi"/>
          <w:color w:val="000000"/>
          <w:kern w:val="28"/>
          <w14:cntxtAlts/>
        </w:rPr>
        <w:t>similar to</w:t>
      </w:r>
      <w:r w:rsidRPr="00864718">
        <w:rPr>
          <w:rFonts w:cstheme="minorHAnsi"/>
          <w:color w:val="000000"/>
          <w:kern w:val="28"/>
          <w14:cntxtAlts/>
        </w:rPr>
        <w:t xml:space="preserve"> the standards set out by the Office of the Superintendent o</w:t>
      </w:r>
      <w:r>
        <w:rPr>
          <w:rFonts w:cstheme="minorHAnsi"/>
          <w:color w:val="000000"/>
          <w:kern w:val="28"/>
          <w14:cntxtAlts/>
        </w:rPr>
        <w:t>f Financial Institutions (OSFI)</w:t>
      </w:r>
      <w:r w:rsidRPr="00864718">
        <w:rPr>
          <w:rFonts w:cstheme="minorHAnsi"/>
          <w:color w:val="000000"/>
          <w:kern w:val="28"/>
          <w14:cntxtAlts/>
        </w:rPr>
        <w:t>, even when not otherwise required by law.  Liability is expressly denied to those that do not meet this condition</w:t>
      </w:r>
      <w:r>
        <w:rPr>
          <w:rFonts w:cstheme="minorHAnsi"/>
          <w:color w:val="000000"/>
          <w:kern w:val="28"/>
          <w14:cntxtAlts/>
        </w:rPr>
        <w:t>.  Any reliance on this report without satisfaction of this condition is unreasonable</w:t>
      </w:r>
      <w:r w:rsidRPr="00864718">
        <w:rPr>
          <w:rFonts w:cstheme="minorHAnsi"/>
          <w:color w:val="000000"/>
          <w:kern w:val="28"/>
          <w14:cntxtAlts/>
        </w:rPr>
        <w:t>.</w:t>
      </w:r>
    </w:p>
    <w:p w:rsidR="007B6C55" w:rsidRDefault="007B6C55" w:rsidP="004935EF">
      <w:pPr>
        <w:rPr>
          <w:rFonts w:eastAsia="Times New Roman" w:cstheme="minorHAnsi"/>
          <w:color w:val="000000"/>
          <w:kern w:val="28"/>
          <w:sz w:val="24"/>
          <w:szCs w:val="24"/>
          <w14:cntxtAlts/>
        </w:rPr>
      </w:pPr>
    </w:p>
    <w:p w:rsidR="001B4737" w:rsidRPr="001B4737" w:rsidRDefault="001B4737" w:rsidP="001B4737">
      <w:pPr>
        <w:widowControl w:val="0"/>
        <w:tabs>
          <w:tab w:val="left" w:pos="284"/>
        </w:tabs>
        <w:spacing w:before="120" w:after="120" w:line="320" w:lineRule="exact"/>
        <w:outlineLvl w:val="3"/>
        <w:rPr>
          <w:rFonts w:eastAsia="Arial Unicode MS" w:cstheme="minorHAnsi"/>
          <w:iCs/>
          <w:kern w:val="32"/>
          <w:sz w:val="40"/>
          <w:szCs w:val="28"/>
          <w:lang w:eastAsia="en-CA"/>
        </w:rPr>
      </w:pPr>
      <w:r w:rsidRPr="001B4737">
        <w:rPr>
          <w:rFonts w:ascii="AgencyFB-Bold" w:hAnsi="AgencyFB-Bold" w:cs="AgencyFB-Bold"/>
          <w:b/>
          <w:bCs/>
          <w:szCs w:val="12"/>
        </w:rPr>
        <w:t>EXTRAORDINARY ASSUMPTIONS &amp; LIMITING CONDITIONS ADDENDUM</w:t>
      </w:r>
    </w:p>
    <w:p w:rsidR="00093BF4" w:rsidRDefault="00093BF4" w:rsidP="00093BF4">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The Client has specifically requested an assignment with a limited scope of work and results in an abbreviated report format.  By accepting this report, the Client and Intended User(s) understand that an inspection of the subject property has not been performed and accept the decrease in the reliability of this report, resulting in a higher level of risk assumed by a user of this report.  The appraiser, the appraiser’s firm and/or any employee, director, officer or partner of the appraiser’s firm, as applicable,</w:t>
      </w:r>
      <w:r w:rsidR="001D665B">
        <w:rPr>
          <w:rFonts w:eastAsia="Arial Unicode MS" w:cstheme="minorHAnsi"/>
          <w:iCs/>
          <w:kern w:val="32"/>
          <w:szCs w:val="28"/>
          <w:lang w:val="en-CA" w:eastAsia="en-CA"/>
        </w:rPr>
        <w:t xml:space="preserve"> are limited in liability to $50</w:t>
      </w:r>
      <w:r w:rsidRPr="00093BF4">
        <w:rPr>
          <w:rFonts w:eastAsia="Arial Unicode MS" w:cstheme="minorHAnsi"/>
          <w:iCs/>
          <w:kern w:val="32"/>
          <w:szCs w:val="28"/>
          <w:lang w:val="en-CA" w:eastAsia="en-CA"/>
        </w:rPr>
        <w:t>,000 (</w:t>
      </w:r>
      <w:r w:rsidR="001D665B">
        <w:rPr>
          <w:rFonts w:eastAsia="Arial Unicode MS" w:cstheme="minorHAnsi"/>
          <w:iCs/>
          <w:kern w:val="32"/>
          <w:szCs w:val="28"/>
          <w:lang w:val="en-CA" w:eastAsia="en-CA"/>
        </w:rPr>
        <w:t>fifty</w:t>
      </w:r>
      <w:r w:rsidRPr="00093BF4">
        <w:rPr>
          <w:rFonts w:eastAsia="Arial Unicode MS" w:cstheme="minorHAnsi"/>
          <w:iCs/>
          <w:kern w:val="32"/>
          <w:szCs w:val="28"/>
          <w:lang w:val="en-CA" w:eastAsia="en-CA"/>
        </w:rPr>
        <w:t xml:space="preserve"> thousand</w:t>
      </w:r>
      <w:r w:rsidR="000571C6">
        <w:rPr>
          <w:rFonts w:eastAsia="Arial Unicode MS" w:cstheme="minorHAnsi"/>
          <w:iCs/>
          <w:kern w:val="32"/>
          <w:szCs w:val="28"/>
          <w:lang w:val="en-CA" w:eastAsia="en-CA"/>
        </w:rPr>
        <w:t xml:space="preserve"> dollars</w:t>
      </w:r>
      <w:r w:rsidRPr="00093BF4">
        <w:rPr>
          <w:rFonts w:eastAsia="Arial Unicode MS" w:cstheme="minorHAnsi"/>
          <w:iCs/>
          <w:kern w:val="32"/>
          <w:szCs w:val="28"/>
          <w:lang w:val="en-CA" w:eastAsia="en-CA"/>
        </w:rPr>
        <w:t xml:space="preserve">). Such limitation of liability applies in the event that anyone makes a claim that the appraiser is in any way liable for performing the appraisal or in preparing the appraisal report, including in respect of any allegations of negligence, breach of contract or for any other reason or claim. </w:t>
      </w:r>
    </w:p>
    <w:p w:rsidR="00093BF4" w:rsidRDefault="00093BF4" w:rsidP="00093BF4">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 xml:space="preserve">Due to the limitations in this report, it is not intended for use by third parties or for any other use than the specified use.  Liability to any users or use other than those specifically authorized in this report is expressly denied. </w:t>
      </w:r>
    </w:p>
    <w:p w:rsidR="00093BF4" w:rsidRDefault="00093BF4" w:rsidP="00093BF4">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By accepting this report, all parties acknowledge and accept that an inspection of the subject property and/or a more in-depth investigation could result in a different valuation conclusion.</w:t>
      </w:r>
    </w:p>
    <w:p w:rsidR="00093BF4" w:rsidRDefault="00093BF4" w:rsidP="00093BF4">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This report relies on third party information believed to be accurate.  If any of the information relied upon in this report is found to be other than stated or assumed, the estimated value contained herein is subject to change accordingly and it is unreasonable to rely on this report.</w:t>
      </w:r>
    </w:p>
    <w:p w:rsidR="00093BF4" w:rsidRPr="00093BF4" w:rsidRDefault="00093BF4" w:rsidP="00093BF4">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Where the intended use of this report is for financing or mortgage lending, it is a condition of reliance on this report that the intended use is for first mortgage financing only, the lender has determined that the borrower has the capacity and willingness to repay</w:t>
      </w:r>
      <w:r w:rsidR="006B3C24">
        <w:rPr>
          <w:rFonts w:eastAsia="Arial Unicode MS" w:cstheme="minorHAnsi"/>
          <w:iCs/>
          <w:kern w:val="32"/>
          <w:szCs w:val="28"/>
          <w:lang w:val="en-CA" w:eastAsia="en-CA"/>
        </w:rPr>
        <w:t>,</w:t>
      </w:r>
      <w:r w:rsidRPr="00093BF4">
        <w:rPr>
          <w:rFonts w:eastAsia="Arial Unicode MS" w:cstheme="minorHAnsi"/>
          <w:iCs/>
          <w:kern w:val="32"/>
          <w:szCs w:val="28"/>
          <w:lang w:val="en-CA" w:eastAsia="en-CA"/>
        </w:rPr>
        <w:t xml:space="preserve"> and the loan-to-value ratio is in accordance with lending institution </w:t>
      </w:r>
      <w:r w:rsidR="000571C6">
        <w:rPr>
          <w:rFonts w:eastAsia="Arial Unicode MS" w:cstheme="minorHAnsi"/>
          <w:iCs/>
          <w:kern w:val="32"/>
          <w:szCs w:val="28"/>
          <w:lang w:val="en-CA" w:eastAsia="en-CA"/>
        </w:rPr>
        <w:t xml:space="preserve">policies </w:t>
      </w:r>
      <w:r w:rsidRPr="00093BF4">
        <w:rPr>
          <w:rFonts w:eastAsia="Arial Unicode MS" w:cstheme="minorHAnsi"/>
          <w:iCs/>
          <w:kern w:val="32"/>
          <w:szCs w:val="28"/>
          <w:lang w:val="en-CA" w:eastAsia="en-CA"/>
        </w:rPr>
        <w:t xml:space="preserve">and </w:t>
      </w:r>
      <w:r w:rsidR="000571C6">
        <w:rPr>
          <w:rFonts w:eastAsia="Arial Unicode MS" w:cstheme="minorHAnsi"/>
          <w:iCs/>
          <w:kern w:val="32"/>
          <w:szCs w:val="28"/>
          <w:lang w:val="en-CA" w:eastAsia="en-CA"/>
        </w:rPr>
        <w:t xml:space="preserve">policies </w:t>
      </w:r>
      <w:r w:rsidR="000571C6">
        <w:rPr>
          <w:rFonts w:cstheme="minorHAnsi"/>
          <w:color w:val="000000"/>
          <w:kern w:val="28"/>
          <w14:cntxtAlts/>
        </w:rPr>
        <w:t>similar to</w:t>
      </w:r>
      <w:r w:rsidR="000571C6" w:rsidRPr="00864718">
        <w:rPr>
          <w:rFonts w:cstheme="minorHAnsi"/>
          <w:color w:val="000000"/>
          <w:kern w:val="28"/>
          <w14:cntxtAlts/>
        </w:rPr>
        <w:t xml:space="preserve"> </w:t>
      </w:r>
      <w:r w:rsidR="000571C6">
        <w:rPr>
          <w:rFonts w:cstheme="minorHAnsi"/>
          <w:color w:val="000000"/>
          <w:kern w:val="28"/>
          <w14:cntxtAlts/>
        </w:rPr>
        <w:t>those</w:t>
      </w:r>
      <w:r w:rsidR="000571C6" w:rsidRPr="00864718">
        <w:rPr>
          <w:rFonts w:cstheme="minorHAnsi"/>
          <w:color w:val="000000"/>
          <w:kern w:val="28"/>
          <w14:cntxtAlts/>
        </w:rPr>
        <w:t xml:space="preserve"> set out by the Office of the Superintendent o</w:t>
      </w:r>
      <w:r w:rsidR="000571C6">
        <w:rPr>
          <w:rFonts w:cstheme="minorHAnsi"/>
          <w:color w:val="000000"/>
          <w:kern w:val="28"/>
          <w14:cntxtAlts/>
        </w:rPr>
        <w:t>f Financial Institutions (OSFI)</w:t>
      </w:r>
      <w:r w:rsidR="000571C6" w:rsidRPr="00864718">
        <w:rPr>
          <w:rFonts w:cstheme="minorHAnsi"/>
          <w:color w:val="000000"/>
          <w:kern w:val="28"/>
          <w14:cntxtAlts/>
        </w:rPr>
        <w:t xml:space="preserve">, even when not otherwise required by law.  </w:t>
      </w:r>
      <w:r w:rsidRPr="00093BF4">
        <w:rPr>
          <w:rFonts w:eastAsia="Arial Unicode MS" w:cstheme="minorHAnsi"/>
          <w:iCs/>
          <w:kern w:val="32"/>
          <w:szCs w:val="28"/>
          <w:lang w:val="en-CA" w:eastAsia="en-CA"/>
        </w:rPr>
        <w:t xml:space="preserve">Any other use of </w:t>
      </w:r>
      <w:r w:rsidR="000571C6">
        <w:rPr>
          <w:rFonts w:eastAsia="Arial Unicode MS" w:cstheme="minorHAnsi"/>
          <w:iCs/>
          <w:kern w:val="32"/>
          <w:szCs w:val="28"/>
          <w:lang w:val="en-CA" w:eastAsia="en-CA"/>
        </w:rPr>
        <w:t xml:space="preserve">or reliance on </w:t>
      </w:r>
      <w:r w:rsidRPr="00093BF4">
        <w:rPr>
          <w:rFonts w:eastAsia="Arial Unicode MS" w:cstheme="minorHAnsi"/>
          <w:iCs/>
          <w:kern w:val="32"/>
          <w:szCs w:val="28"/>
          <w:lang w:val="en-CA" w:eastAsia="en-CA"/>
        </w:rPr>
        <w:t>this report is unreasonable.</w:t>
      </w:r>
    </w:p>
    <w:p w:rsidR="00093BF4" w:rsidRPr="00093BF4" w:rsidRDefault="00093BF4" w:rsidP="00093BF4">
      <w:pPr>
        <w:rPr>
          <w:rFonts w:eastAsia="Arial Unicode MS" w:cstheme="minorHAnsi"/>
          <w:iCs/>
          <w:kern w:val="32"/>
          <w:szCs w:val="28"/>
          <w:lang w:val="en-CA" w:eastAsia="en-CA"/>
        </w:rPr>
      </w:pPr>
    </w:p>
    <w:p w:rsidR="004935EF" w:rsidRPr="004935EF" w:rsidRDefault="004935EF" w:rsidP="004935EF">
      <w:pPr>
        <w:rPr>
          <w:rFonts w:eastAsia="Times New Roman" w:cstheme="minorHAnsi"/>
          <w:color w:val="000000"/>
          <w:kern w:val="28"/>
          <w:sz w:val="24"/>
          <w:szCs w:val="24"/>
          <w14:cntxtAlts/>
        </w:rPr>
      </w:pPr>
    </w:p>
    <w:sectPr w:rsidR="004935EF" w:rsidRPr="004935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97" w:rsidRDefault="00222497" w:rsidP="004935EF">
      <w:pPr>
        <w:spacing w:after="0" w:line="240" w:lineRule="auto"/>
      </w:pPr>
      <w:r>
        <w:separator/>
      </w:r>
    </w:p>
  </w:endnote>
  <w:endnote w:type="continuationSeparator" w:id="0">
    <w:p w:rsidR="00222497" w:rsidRDefault="00222497" w:rsidP="0049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gencyFB-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37" w:rsidRPr="001B4737" w:rsidRDefault="001B4737" w:rsidP="001B4737">
    <w:pPr>
      <w:tabs>
        <w:tab w:val="center" w:pos="4680"/>
        <w:tab w:val="right" w:pos="9360"/>
      </w:tabs>
      <w:spacing w:before="120" w:after="0" w:line="240" w:lineRule="auto"/>
      <w:ind w:left="720"/>
      <w:jc w:val="center"/>
      <w:rPr>
        <w:rFonts w:eastAsia="Times New Roman" w:cs="Times New Roman"/>
        <w:b/>
        <w:i/>
        <w:sz w:val="24"/>
        <w:szCs w:val="24"/>
      </w:rPr>
    </w:pPr>
    <w:r w:rsidRPr="001B4737">
      <w:rPr>
        <w:rFonts w:eastAsia="Times New Roman" w:cs="Times New Roman"/>
        <w:b/>
        <w:i/>
        <w:sz w:val="24"/>
        <w:szCs w:val="24"/>
      </w:rPr>
      <w:t xml:space="preserve">Appraisal Institute of Canada ©- Effective </w:t>
    </w:r>
    <w:r w:rsidR="00BC6DFD">
      <w:rPr>
        <w:rFonts w:eastAsia="Times New Roman" w:cs="Times New Roman"/>
        <w:b/>
        <w:i/>
        <w:sz w:val="24"/>
        <w:szCs w:val="24"/>
      </w:rPr>
      <w:t>August</w:t>
    </w:r>
    <w:r w:rsidRPr="001B4737">
      <w:rPr>
        <w:rFonts w:eastAsia="Times New Roman" w:cs="Times New Roman"/>
        <w:b/>
        <w:i/>
        <w:sz w:val="24"/>
        <w:szCs w:val="24"/>
      </w:rPr>
      <w:t>, 2018</w:t>
    </w:r>
  </w:p>
  <w:p w:rsidR="001B4737" w:rsidRDefault="001B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97" w:rsidRDefault="00222497" w:rsidP="004935EF">
      <w:pPr>
        <w:spacing w:after="0" w:line="240" w:lineRule="auto"/>
      </w:pPr>
      <w:r>
        <w:separator/>
      </w:r>
    </w:p>
  </w:footnote>
  <w:footnote w:type="continuationSeparator" w:id="0">
    <w:p w:rsidR="00222497" w:rsidRDefault="00222497" w:rsidP="0049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EF" w:rsidRPr="004935EF" w:rsidRDefault="004935EF" w:rsidP="004935EF">
    <w:pPr>
      <w:tabs>
        <w:tab w:val="center" w:pos="4680"/>
        <w:tab w:val="right" w:pos="9360"/>
      </w:tabs>
      <w:spacing w:before="120" w:after="0" w:line="240" w:lineRule="auto"/>
      <w:ind w:left="-90"/>
      <w:jc w:val="center"/>
      <w:rPr>
        <w:rFonts w:eastAsia="Times New Roman" w:cs="Times New Roman"/>
        <w:b/>
        <w:sz w:val="24"/>
        <w:szCs w:val="24"/>
      </w:rPr>
    </w:pPr>
    <w:r w:rsidRPr="004935EF">
      <w:rPr>
        <w:rFonts w:eastAsia="Times New Roman" w:cs="Times New Roman"/>
        <w:b/>
        <w:noProof/>
        <w:sz w:val="24"/>
        <w:szCs w:val="24"/>
      </w:rPr>
      <w:drawing>
        <wp:inline distT="0" distB="0" distL="0" distR="0" wp14:anchorId="5B2E4D34" wp14:editId="1A54A0B1">
          <wp:extent cx="2189103" cy="454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8824" cy="467064"/>
                  </a:xfrm>
                  <a:prstGeom prst="rect">
                    <a:avLst/>
                  </a:prstGeom>
                </pic:spPr>
              </pic:pic>
            </a:graphicData>
          </a:graphic>
        </wp:inline>
      </w:drawing>
    </w:r>
  </w:p>
  <w:p w:rsidR="004935EF" w:rsidRDefault="0049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A1F"/>
    <w:multiLevelType w:val="hybridMultilevel"/>
    <w:tmpl w:val="3140BA2A"/>
    <w:lvl w:ilvl="0" w:tplc="1009000F">
      <w:start w:val="1"/>
      <w:numFmt w:val="decimal"/>
      <w:lvlText w:val="%1."/>
      <w:lvlJc w:val="left"/>
      <w:pPr>
        <w:ind w:left="0" w:hanging="360"/>
      </w:pPr>
      <w:rPr>
        <w:rFonts w:hint="default"/>
      </w:rPr>
    </w:lvl>
    <w:lvl w:ilvl="1" w:tplc="736C884E">
      <w:start w:val="1"/>
      <w:numFmt w:val="decimal"/>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3FB24CAA"/>
    <w:multiLevelType w:val="multilevel"/>
    <w:tmpl w:val="FA9CF086"/>
    <w:lvl w:ilvl="0">
      <w:start w:val="1"/>
      <w:numFmt w:val="decimal"/>
      <w:lvlText w:val="%1"/>
      <w:lvlJc w:val="left"/>
      <w:pPr>
        <w:ind w:left="36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6"/>
      <w:numFmt w:val="decimal"/>
      <w:lvlText w:val="%1.%2"/>
      <w:lvlJc w:val="left"/>
      <w:pPr>
        <w:tabs>
          <w:tab w:val="num" w:pos="810"/>
        </w:tabs>
        <w:ind w:left="81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600"/>
        </w:tabs>
        <w:ind w:left="2880" w:firstLine="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6AC8548B"/>
    <w:multiLevelType w:val="hybridMultilevel"/>
    <w:tmpl w:val="2690CE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C"/>
    <w:rsid w:val="000571C6"/>
    <w:rsid w:val="00093BF4"/>
    <w:rsid w:val="001B4737"/>
    <w:rsid w:val="001D665B"/>
    <w:rsid w:val="00222497"/>
    <w:rsid w:val="004935EF"/>
    <w:rsid w:val="0054184D"/>
    <w:rsid w:val="006B3C24"/>
    <w:rsid w:val="007B6C55"/>
    <w:rsid w:val="00987B54"/>
    <w:rsid w:val="00A17A2D"/>
    <w:rsid w:val="00B6273C"/>
    <w:rsid w:val="00B7676A"/>
    <w:rsid w:val="00BC6DFD"/>
    <w:rsid w:val="00E3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8EE7"/>
  <w15:chartTrackingRefBased/>
  <w15:docId w15:val="{BF836B46-2CFB-4356-A46A-9DDB584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C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B6C55"/>
    <w:pPr>
      <w:keepNext w:val="0"/>
      <w:keepLines w:val="0"/>
      <w:widowControl w:val="0"/>
      <w:tabs>
        <w:tab w:val="left" w:pos="720"/>
        <w:tab w:val="num" w:pos="810"/>
      </w:tabs>
      <w:spacing w:after="240" w:line="320" w:lineRule="exact"/>
      <w:ind w:left="806" w:hanging="720"/>
      <w:jc w:val="center"/>
      <w:outlineLvl w:val="1"/>
    </w:pPr>
    <w:rPr>
      <w:rFonts w:asciiTheme="minorHAnsi" w:eastAsia="Arial Unicode MS" w:hAnsiTheme="minorHAnsi" w:cstheme="minorHAnsi"/>
      <w:b/>
      <w:iCs/>
      <w:color w:val="auto"/>
      <w:kern w:val="32"/>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EF"/>
  </w:style>
  <w:style w:type="paragraph" w:styleId="Footer">
    <w:name w:val="footer"/>
    <w:basedOn w:val="Normal"/>
    <w:link w:val="FooterChar"/>
    <w:uiPriority w:val="99"/>
    <w:unhideWhenUsed/>
    <w:rsid w:val="0049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EF"/>
  </w:style>
  <w:style w:type="paragraph" w:styleId="ListParagraph">
    <w:name w:val="List Paragraph"/>
    <w:basedOn w:val="Normal"/>
    <w:uiPriority w:val="34"/>
    <w:qFormat/>
    <w:rsid w:val="004935EF"/>
    <w:pPr>
      <w:spacing w:before="120" w:after="120" w:line="320" w:lineRule="exact"/>
      <w:ind w:left="720"/>
      <w:contextualSpacing/>
    </w:pPr>
    <w:rPr>
      <w:rFonts w:eastAsia="Times New Roman" w:cs="Times New Roman"/>
      <w:sz w:val="24"/>
      <w:szCs w:val="24"/>
    </w:rPr>
  </w:style>
  <w:style w:type="character" w:customStyle="1" w:styleId="Heading2Char">
    <w:name w:val="Heading 2 Char"/>
    <w:basedOn w:val="DefaultParagraphFont"/>
    <w:link w:val="Heading2"/>
    <w:rsid w:val="007B6C55"/>
    <w:rPr>
      <w:rFonts w:eastAsia="Arial Unicode MS" w:cstheme="minorHAnsi"/>
      <w:b/>
      <w:iCs/>
      <w:kern w:val="32"/>
      <w:sz w:val="28"/>
      <w:szCs w:val="28"/>
      <w:lang w:eastAsia="en-CA"/>
    </w:rPr>
  </w:style>
  <w:style w:type="character" w:customStyle="1" w:styleId="Heading1Char">
    <w:name w:val="Heading 1 Char"/>
    <w:basedOn w:val="DefaultParagraphFont"/>
    <w:link w:val="Heading1"/>
    <w:uiPriority w:val="9"/>
    <w:rsid w:val="007B6C5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4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Roy</dc:creator>
  <cp:keywords/>
  <dc:description/>
  <cp:lastModifiedBy>Andre Hannoush</cp:lastModifiedBy>
  <cp:revision>4</cp:revision>
  <dcterms:created xsi:type="dcterms:W3CDTF">2018-07-25T13:53:00Z</dcterms:created>
  <dcterms:modified xsi:type="dcterms:W3CDTF">2018-08-09T19:00:00Z</dcterms:modified>
</cp:coreProperties>
</file>