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2A" w:rsidRDefault="00207141" w:rsidP="00207141">
      <w:pPr>
        <w:pStyle w:val="CentreBold"/>
      </w:pPr>
      <w:r>
        <w:t xml:space="preserve">Dismissing </w:t>
      </w:r>
      <w:r w:rsidR="00040009">
        <w:t>professional negligence</w:t>
      </w:r>
      <w:r>
        <w:t xml:space="preserve"> claims at the pleadings stage</w:t>
      </w:r>
      <w:proofErr w:type="gramStart"/>
      <w:r>
        <w:t>:</w:t>
      </w:r>
      <w:proofErr w:type="gramEnd"/>
      <w:r>
        <w:br/>
        <w:t>A comment</w:t>
      </w:r>
      <w:r w:rsidR="00774BFE">
        <w:t>ary</w:t>
      </w:r>
      <w:r>
        <w:t xml:space="preserve"> on a recent Ontario Court of Appeal decision</w:t>
      </w:r>
    </w:p>
    <w:p w:rsidR="00040009" w:rsidRDefault="00040009" w:rsidP="00207141">
      <w:pPr>
        <w:pStyle w:val="CentreBold"/>
      </w:pPr>
      <w:r>
        <w:t>By: Chris Afonso</w:t>
      </w:r>
    </w:p>
    <w:p w:rsidR="00410236" w:rsidRDefault="00CA4286" w:rsidP="00CA4286">
      <w:pPr>
        <w:pStyle w:val="CentreBold"/>
        <w:jc w:val="both"/>
        <w:rPr>
          <w:b w:val="0"/>
        </w:rPr>
      </w:pPr>
      <w:r>
        <w:rPr>
          <w:b w:val="0"/>
        </w:rPr>
        <w:t xml:space="preserve">The Ontario Court of Appeal recently </w:t>
      </w:r>
      <w:r w:rsidR="000C180A">
        <w:rPr>
          <w:b w:val="0"/>
        </w:rPr>
        <w:t>upheld the dismissal of</w:t>
      </w:r>
      <w:r>
        <w:rPr>
          <w:b w:val="0"/>
        </w:rPr>
        <w:t xml:space="preserve"> a professional negligence claim at the pleadings stage of an action</w:t>
      </w:r>
      <w:r w:rsidR="000C180A">
        <w:rPr>
          <w:b w:val="0"/>
        </w:rPr>
        <w:t xml:space="preserve">. </w:t>
      </w:r>
      <w:r w:rsidR="00BE712C">
        <w:rPr>
          <w:b w:val="0"/>
        </w:rPr>
        <w:t>Our firm represented the successful defendant who had been sued for negligent misrepresentation in connection with a real estate appraisal report.</w:t>
      </w:r>
      <w:r w:rsidR="000C180A">
        <w:rPr>
          <w:b w:val="0"/>
        </w:rPr>
        <w:t xml:space="preserve"> The dismissal occurred largely because of the disc</w:t>
      </w:r>
      <w:r w:rsidR="00AB00DE">
        <w:rPr>
          <w:b w:val="0"/>
        </w:rPr>
        <w:t>laimers in the appraisal report</w:t>
      </w:r>
      <w:r>
        <w:rPr>
          <w:b w:val="0"/>
        </w:rPr>
        <w:t xml:space="preserve">. This decision, </w:t>
      </w:r>
      <w:r w:rsidRPr="00CA4286">
        <w:rPr>
          <w:b w:val="0"/>
          <w:i/>
        </w:rPr>
        <w:t>Barkley v. Tier 1 Capital Management Inc</w:t>
      </w:r>
      <w:r w:rsidRPr="00CA4286">
        <w:rPr>
          <w:b w:val="0"/>
        </w:rPr>
        <w:t xml:space="preserve">., 2019 </w:t>
      </w:r>
      <w:proofErr w:type="spellStart"/>
      <w:r w:rsidRPr="00CA4286">
        <w:rPr>
          <w:b w:val="0"/>
        </w:rPr>
        <w:t>ONCA</w:t>
      </w:r>
      <w:proofErr w:type="spellEnd"/>
      <w:r w:rsidRPr="00CA4286">
        <w:rPr>
          <w:b w:val="0"/>
        </w:rPr>
        <w:t xml:space="preserve"> 54</w:t>
      </w:r>
      <w:r>
        <w:rPr>
          <w:b w:val="0"/>
        </w:rPr>
        <w:t xml:space="preserve"> (“</w:t>
      </w:r>
      <w:r w:rsidR="00410236">
        <w:rPr>
          <w:b w:val="0"/>
          <w:i/>
        </w:rPr>
        <w:t>Barkley</w:t>
      </w:r>
      <w:r>
        <w:rPr>
          <w:b w:val="0"/>
        </w:rPr>
        <w:t xml:space="preserve">”) represents </w:t>
      </w:r>
      <w:r w:rsidR="00410236">
        <w:rPr>
          <w:b w:val="0"/>
        </w:rPr>
        <w:t>an important new development in the defence of professional negligence claim</w:t>
      </w:r>
      <w:r w:rsidR="000C180A">
        <w:rPr>
          <w:b w:val="0"/>
        </w:rPr>
        <w:t>s</w:t>
      </w:r>
      <w:r w:rsidR="00410236">
        <w:rPr>
          <w:b w:val="0"/>
        </w:rPr>
        <w:t xml:space="preserve">. </w:t>
      </w:r>
    </w:p>
    <w:p w:rsidR="007D7DE6" w:rsidRDefault="00410236" w:rsidP="00CA4286">
      <w:pPr>
        <w:pStyle w:val="CentreBold"/>
        <w:jc w:val="both"/>
        <w:rPr>
          <w:b w:val="0"/>
        </w:rPr>
      </w:pPr>
      <w:r>
        <w:rPr>
          <w:b w:val="0"/>
          <w:i/>
        </w:rPr>
        <w:t xml:space="preserve">Barkley </w:t>
      </w:r>
      <w:r w:rsidR="00375FED">
        <w:rPr>
          <w:b w:val="0"/>
        </w:rPr>
        <w:t>is one of three recent</w:t>
      </w:r>
      <w:r>
        <w:rPr>
          <w:b w:val="0"/>
        </w:rPr>
        <w:t xml:space="preserve"> decisions </w:t>
      </w:r>
      <w:r w:rsidR="00375FED">
        <w:rPr>
          <w:b w:val="0"/>
        </w:rPr>
        <w:t>amending the law governing a professional’s duty of care when drafting reports that others may rely on in making investment decisions</w:t>
      </w:r>
      <w:r>
        <w:rPr>
          <w:b w:val="0"/>
        </w:rPr>
        <w:t xml:space="preserve">. The first key decision was the Supreme Court of Canada’s </w:t>
      </w:r>
      <w:r w:rsidR="007D7DE6">
        <w:rPr>
          <w:b w:val="0"/>
        </w:rPr>
        <w:t xml:space="preserve">2017 decision </w:t>
      </w:r>
      <w:r w:rsidR="00BF5F83" w:rsidRPr="00BF5F83">
        <w:rPr>
          <w:b w:val="0"/>
          <w:i/>
        </w:rPr>
        <w:t xml:space="preserve">Deloitte &amp; </w:t>
      </w:r>
      <w:proofErr w:type="spellStart"/>
      <w:r w:rsidR="00BF5F83" w:rsidRPr="00BF5F83">
        <w:rPr>
          <w:b w:val="0"/>
          <w:i/>
        </w:rPr>
        <w:t>Touche</w:t>
      </w:r>
      <w:proofErr w:type="spellEnd"/>
      <w:r w:rsidR="00BF5F83" w:rsidRPr="00BF5F83">
        <w:rPr>
          <w:b w:val="0"/>
          <w:i/>
        </w:rPr>
        <w:t xml:space="preserve"> v. </w:t>
      </w:r>
      <w:proofErr w:type="spellStart"/>
      <w:r w:rsidR="00BF5F83" w:rsidRPr="00BF5F83">
        <w:rPr>
          <w:b w:val="0"/>
          <w:i/>
        </w:rPr>
        <w:t>Livent</w:t>
      </w:r>
      <w:proofErr w:type="spellEnd"/>
      <w:r w:rsidR="00BF5F83" w:rsidRPr="00BF5F83">
        <w:rPr>
          <w:b w:val="0"/>
          <w:i/>
        </w:rPr>
        <w:t xml:space="preserve"> Inc. (Receiver of)</w:t>
      </w:r>
      <w:r w:rsidR="00BF5F83" w:rsidRPr="00BF5F83">
        <w:rPr>
          <w:b w:val="0"/>
        </w:rPr>
        <w:t xml:space="preserve">, [2017] 2 SCR 855 </w:t>
      </w:r>
      <w:r w:rsidR="007D7DE6">
        <w:rPr>
          <w:b w:val="0"/>
        </w:rPr>
        <w:t>(“</w:t>
      </w:r>
      <w:proofErr w:type="spellStart"/>
      <w:r w:rsidR="007D7DE6" w:rsidRPr="007D7DE6">
        <w:rPr>
          <w:b w:val="0"/>
          <w:i/>
        </w:rPr>
        <w:t>Livent</w:t>
      </w:r>
      <w:proofErr w:type="spellEnd"/>
      <w:r w:rsidR="007D7DE6">
        <w:rPr>
          <w:b w:val="0"/>
        </w:rPr>
        <w:t xml:space="preserve">”). The second was the Ontario Court of Appeal’s decision in </w:t>
      </w:r>
      <w:r w:rsidR="007D7DE6">
        <w:rPr>
          <w:b w:val="0"/>
          <w:i/>
        </w:rPr>
        <w:t>Lavender v. Miller Bernstein</w:t>
      </w:r>
      <w:r w:rsidR="007D7DE6">
        <w:rPr>
          <w:b w:val="0"/>
        </w:rPr>
        <w:t xml:space="preserve"> </w:t>
      </w:r>
      <w:r w:rsidR="007D7DE6">
        <w:rPr>
          <w:b w:val="0"/>
          <w:i/>
        </w:rPr>
        <w:t>LLP</w:t>
      </w:r>
      <w:r w:rsidR="007D7DE6">
        <w:rPr>
          <w:b w:val="0"/>
        </w:rPr>
        <w:t xml:space="preserve">, 2018 </w:t>
      </w:r>
      <w:proofErr w:type="spellStart"/>
      <w:r w:rsidR="007D7DE6">
        <w:rPr>
          <w:b w:val="0"/>
        </w:rPr>
        <w:t>ONCA</w:t>
      </w:r>
      <w:proofErr w:type="spellEnd"/>
      <w:r w:rsidR="007D7DE6">
        <w:rPr>
          <w:b w:val="0"/>
        </w:rPr>
        <w:t xml:space="preserve"> 729 (“</w:t>
      </w:r>
      <w:r w:rsidR="007D7DE6">
        <w:rPr>
          <w:b w:val="0"/>
          <w:i/>
        </w:rPr>
        <w:t>Lavender</w:t>
      </w:r>
      <w:r w:rsidR="007D7DE6">
        <w:rPr>
          <w:b w:val="0"/>
        </w:rPr>
        <w:t xml:space="preserve">”). </w:t>
      </w:r>
    </w:p>
    <w:p w:rsidR="003A0D07" w:rsidRDefault="007D7DE6" w:rsidP="00CA4286">
      <w:pPr>
        <w:pStyle w:val="CentreBold"/>
        <w:jc w:val="both"/>
        <w:rPr>
          <w:b w:val="0"/>
        </w:rPr>
      </w:pPr>
      <w:r>
        <w:rPr>
          <w:b w:val="0"/>
        </w:rPr>
        <w:t xml:space="preserve">In </w:t>
      </w:r>
      <w:proofErr w:type="spellStart"/>
      <w:r>
        <w:rPr>
          <w:b w:val="0"/>
          <w:i/>
        </w:rPr>
        <w:t>Livent</w:t>
      </w:r>
      <w:proofErr w:type="spellEnd"/>
      <w:r>
        <w:rPr>
          <w:b w:val="0"/>
        </w:rPr>
        <w:t xml:space="preserve">, the </w:t>
      </w:r>
      <w:r w:rsidR="00AB00DE">
        <w:rPr>
          <w:b w:val="0"/>
        </w:rPr>
        <w:t>Supreme Court</w:t>
      </w:r>
      <w:r>
        <w:rPr>
          <w:b w:val="0"/>
        </w:rPr>
        <w:t xml:space="preserve"> </w:t>
      </w:r>
      <w:r w:rsidR="00AB00DE">
        <w:rPr>
          <w:b w:val="0"/>
        </w:rPr>
        <w:t>updated the law governing when a duty of care is owed by a professional in respect of written reports</w:t>
      </w:r>
      <w:r>
        <w:rPr>
          <w:b w:val="0"/>
        </w:rPr>
        <w:t xml:space="preserve">. </w:t>
      </w:r>
      <w:r w:rsidR="00AB00DE">
        <w:rPr>
          <w:b w:val="0"/>
        </w:rPr>
        <w:t xml:space="preserve">This appeal followed a trial in which </w:t>
      </w:r>
      <w:r w:rsidR="00197543">
        <w:rPr>
          <w:b w:val="0"/>
        </w:rPr>
        <w:t xml:space="preserve">an </w:t>
      </w:r>
      <w:r w:rsidR="00AB00DE">
        <w:rPr>
          <w:b w:val="0"/>
        </w:rPr>
        <w:t>auditor</w:t>
      </w:r>
      <w:r w:rsidR="007B67EE">
        <w:rPr>
          <w:b w:val="0"/>
        </w:rPr>
        <w:t xml:space="preserve"> w</w:t>
      </w:r>
      <w:r w:rsidR="00197543">
        <w:rPr>
          <w:b w:val="0"/>
        </w:rPr>
        <w:t>as</w:t>
      </w:r>
      <w:r w:rsidR="00AB00DE">
        <w:rPr>
          <w:b w:val="0"/>
        </w:rPr>
        <w:t xml:space="preserve"> found liable </w:t>
      </w:r>
      <w:r w:rsidR="007B67EE">
        <w:rPr>
          <w:b w:val="0"/>
        </w:rPr>
        <w:t xml:space="preserve">to </w:t>
      </w:r>
      <w:r w:rsidR="00197543">
        <w:rPr>
          <w:b w:val="0"/>
        </w:rPr>
        <w:t>its</w:t>
      </w:r>
      <w:r w:rsidR="007B67EE">
        <w:rPr>
          <w:b w:val="0"/>
        </w:rPr>
        <w:t xml:space="preserve"> client</w:t>
      </w:r>
      <w:r>
        <w:rPr>
          <w:b w:val="0"/>
        </w:rPr>
        <w:t xml:space="preserve">. </w:t>
      </w:r>
      <w:r w:rsidR="003A0D07">
        <w:rPr>
          <w:b w:val="0"/>
        </w:rPr>
        <w:t>The Supreme Court overturned a portion of the judgment based on the updated law.</w:t>
      </w:r>
    </w:p>
    <w:p w:rsidR="007D7DE6" w:rsidRDefault="00375FED" w:rsidP="00CA4286">
      <w:pPr>
        <w:pStyle w:val="CentreBold"/>
        <w:jc w:val="both"/>
        <w:rPr>
          <w:b w:val="0"/>
        </w:rPr>
      </w:pPr>
      <w:r>
        <w:rPr>
          <w:b w:val="0"/>
        </w:rPr>
        <w:t xml:space="preserve">The </w:t>
      </w:r>
      <w:r w:rsidR="007D7DE6">
        <w:rPr>
          <w:b w:val="0"/>
          <w:i/>
        </w:rPr>
        <w:t>Lavender</w:t>
      </w:r>
      <w:r>
        <w:rPr>
          <w:b w:val="0"/>
        </w:rPr>
        <w:t xml:space="preserve"> decision </w:t>
      </w:r>
      <w:r w:rsidR="00AB00DE">
        <w:rPr>
          <w:b w:val="0"/>
        </w:rPr>
        <w:t>also i</w:t>
      </w:r>
      <w:r w:rsidR="007B67EE">
        <w:rPr>
          <w:b w:val="0"/>
        </w:rPr>
        <w:t>nvolved</w:t>
      </w:r>
      <w:r w:rsidR="00AB00DE">
        <w:rPr>
          <w:b w:val="0"/>
        </w:rPr>
        <w:t xml:space="preserve"> audit report</w:t>
      </w:r>
      <w:r w:rsidR="007B67EE">
        <w:rPr>
          <w:b w:val="0"/>
        </w:rPr>
        <w:t>s</w:t>
      </w:r>
      <w:r w:rsidR="00AB00DE">
        <w:rPr>
          <w:b w:val="0"/>
        </w:rPr>
        <w:t>.</w:t>
      </w:r>
      <w:r w:rsidR="003A0D07">
        <w:rPr>
          <w:b w:val="0"/>
        </w:rPr>
        <w:t xml:space="preserve"> The plaintiffs </w:t>
      </w:r>
      <w:r w:rsidR="003A0D07">
        <w:rPr>
          <w:b w:val="0"/>
        </w:rPr>
        <w:t>were investors who were not clients of the auditor</w:t>
      </w:r>
      <w:r w:rsidR="003A0D07">
        <w:rPr>
          <w:b w:val="0"/>
        </w:rPr>
        <w:t>.</w:t>
      </w:r>
      <w:r w:rsidR="003A0D07">
        <w:rPr>
          <w:b w:val="0"/>
        </w:rPr>
        <w:t xml:space="preserve"> </w:t>
      </w:r>
      <w:r w:rsidR="003A0D07">
        <w:rPr>
          <w:b w:val="0"/>
        </w:rPr>
        <w:t>T</w:t>
      </w:r>
      <w:r w:rsidR="007B67EE">
        <w:rPr>
          <w:b w:val="0"/>
        </w:rPr>
        <w:t xml:space="preserve">he </w:t>
      </w:r>
      <w:r w:rsidR="003A0D07">
        <w:rPr>
          <w:b w:val="0"/>
        </w:rPr>
        <w:t>plaintiffs</w:t>
      </w:r>
      <w:r w:rsidR="007B67EE">
        <w:rPr>
          <w:b w:val="0"/>
        </w:rPr>
        <w:t xml:space="preserve"> had </w:t>
      </w:r>
      <w:r w:rsidR="00197543">
        <w:rPr>
          <w:b w:val="0"/>
        </w:rPr>
        <w:t>been granted judgement against the auditor following</w:t>
      </w:r>
      <w:r w:rsidR="007B67EE">
        <w:rPr>
          <w:b w:val="0"/>
        </w:rPr>
        <w:t xml:space="preserve"> </w:t>
      </w:r>
      <w:r w:rsidR="0014432F">
        <w:rPr>
          <w:b w:val="0"/>
        </w:rPr>
        <w:t xml:space="preserve">a </w:t>
      </w:r>
      <w:r w:rsidR="007B67EE">
        <w:rPr>
          <w:b w:val="0"/>
        </w:rPr>
        <w:t xml:space="preserve">summary judgment </w:t>
      </w:r>
      <w:r w:rsidR="003A0D07">
        <w:rPr>
          <w:b w:val="0"/>
        </w:rPr>
        <w:t xml:space="preserve">motion, which had been decided before </w:t>
      </w:r>
      <w:proofErr w:type="spellStart"/>
      <w:r w:rsidR="003A0D07">
        <w:rPr>
          <w:b w:val="0"/>
          <w:i/>
        </w:rPr>
        <w:t>Livent</w:t>
      </w:r>
      <w:proofErr w:type="spellEnd"/>
      <w:r w:rsidR="007B67EE">
        <w:rPr>
          <w:b w:val="0"/>
        </w:rPr>
        <w:t xml:space="preserve">. </w:t>
      </w:r>
      <w:r w:rsidR="00197543">
        <w:rPr>
          <w:b w:val="0"/>
        </w:rPr>
        <w:t xml:space="preserve">The auditor appealed. </w:t>
      </w:r>
      <w:r w:rsidR="003A0D07">
        <w:rPr>
          <w:b w:val="0"/>
        </w:rPr>
        <w:t xml:space="preserve">The Ontario Court of Appeal applied the updated law from </w:t>
      </w:r>
      <w:proofErr w:type="spellStart"/>
      <w:r w:rsidR="003A0D07" w:rsidRPr="00AB00DE">
        <w:rPr>
          <w:b w:val="0"/>
          <w:i/>
        </w:rPr>
        <w:t>Livent</w:t>
      </w:r>
      <w:proofErr w:type="spellEnd"/>
      <w:r w:rsidR="003A0D07">
        <w:t xml:space="preserve"> </w:t>
      </w:r>
      <w:r w:rsidR="003A0D07">
        <w:rPr>
          <w:b w:val="0"/>
        </w:rPr>
        <w:t>and found that the plaintiffs were not entitled to rely on the audit report.</w:t>
      </w:r>
      <w:r w:rsidR="003A0D07">
        <w:rPr>
          <w:b w:val="0"/>
        </w:rPr>
        <w:t xml:space="preserve"> </w:t>
      </w:r>
      <w:r w:rsidR="007B67EE">
        <w:rPr>
          <w:b w:val="0"/>
        </w:rPr>
        <w:t>The judgment was overturned and the claim was dismissed.</w:t>
      </w:r>
    </w:p>
    <w:p w:rsidR="007D7DE6" w:rsidRDefault="007D7DE6" w:rsidP="00CA4286">
      <w:pPr>
        <w:pStyle w:val="CentreBold"/>
        <w:jc w:val="both"/>
        <w:rPr>
          <w:b w:val="0"/>
        </w:rPr>
      </w:pPr>
      <w:r>
        <w:rPr>
          <w:b w:val="0"/>
        </w:rPr>
        <w:t xml:space="preserve">In </w:t>
      </w:r>
      <w:r>
        <w:rPr>
          <w:b w:val="0"/>
          <w:i/>
        </w:rPr>
        <w:t>Barkley</w:t>
      </w:r>
      <w:r>
        <w:rPr>
          <w:b w:val="0"/>
        </w:rPr>
        <w:t xml:space="preserve">, the court dismissed a claim against </w:t>
      </w:r>
      <w:r w:rsidR="00AB00DE">
        <w:rPr>
          <w:b w:val="0"/>
        </w:rPr>
        <w:t>a</w:t>
      </w:r>
      <w:r>
        <w:rPr>
          <w:b w:val="0"/>
        </w:rPr>
        <w:t xml:space="preserve"> real estate apprais</w:t>
      </w:r>
      <w:r w:rsidR="00375FED">
        <w:rPr>
          <w:b w:val="0"/>
        </w:rPr>
        <w:t>er</w:t>
      </w:r>
      <w:r>
        <w:rPr>
          <w:b w:val="0"/>
        </w:rPr>
        <w:t xml:space="preserve"> because the appraiser did not owe a duty of care to the plaintiffs in respect of an appraisal report. This decision was made at the pleadings stage prior to any examinations for discovery. </w:t>
      </w:r>
    </w:p>
    <w:p w:rsidR="00BF5B01" w:rsidRDefault="009129E1" w:rsidP="00CA4286">
      <w:pPr>
        <w:pStyle w:val="CentreBold"/>
        <w:jc w:val="both"/>
        <w:rPr>
          <w:b w:val="0"/>
        </w:rPr>
      </w:pPr>
      <w:r>
        <w:rPr>
          <w:b w:val="0"/>
        </w:rPr>
        <w:t xml:space="preserve">In </w:t>
      </w:r>
      <w:r>
        <w:rPr>
          <w:b w:val="0"/>
          <w:i/>
        </w:rPr>
        <w:t>Barkley</w:t>
      </w:r>
      <w:r>
        <w:rPr>
          <w:b w:val="0"/>
        </w:rPr>
        <w:t xml:space="preserve">, the plaintiffs were a group of investors in a syndicated mortgage. The appraiser prepared an appraisal report for the property that was the subject of the mortgage. The appraiser had been hired by an investment firm who </w:t>
      </w:r>
      <w:r w:rsidR="00A40233">
        <w:rPr>
          <w:b w:val="0"/>
        </w:rPr>
        <w:t>found the</w:t>
      </w:r>
      <w:r w:rsidR="00A94D28">
        <w:rPr>
          <w:b w:val="0"/>
        </w:rPr>
        <w:t xml:space="preserve"> investors and arrange</w:t>
      </w:r>
      <w:r w:rsidR="00A40233">
        <w:rPr>
          <w:b w:val="0"/>
        </w:rPr>
        <w:t>d</w:t>
      </w:r>
      <w:r w:rsidR="00A94D28">
        <w:rPr>
          <w:b w:val="0"/>
        </w:rPr>
        <w:t xml:space="preserve"> the mortgage. The </w:t>
      </w:r>
      <w:r w:rsidR="00A40233">
        <w:rPr>
          <w:b w:val="0"/>
        </w:rPr>
        <w:t>investors</w:t>
      </w:r>
      <w:r w:rsidR="00A94D28">
        <w:rPr>
          <w:b w:val="0"/>
        </w:rPr>
        <w:t xml:space="preserve"> never </w:t>
      </w:r>
      <w:r w:rsidR="00D06A53">
        <w:rPr>
          <w:b w:val="0"/>
        </w:rPr>
        <w:t>received</w:t>
      </w:r>
      <w:r w:rsidR="00A94D28">
        <w:rPr>
          <w:b w:val="0"/>
        </w:rPr>
        <w:t xml:space="preserve"> the appraisal report, but did </w:t>
      </w:r>
      <w:r w:rsidR="00D06A53">
        <w:rPr>
          <w:b w:val="0"/>
        </w:rPr>
        <w:t>receive</w:t>
      </w:r>
      <w:r w:rsidR="00A94D28">
        <w:rPr>
          <w:b w:val="0"/>
        </w:rPr>
        <w:t xml:space="preserve"> a brochure prepared by the investment firm </w:t>
      </w:r>
      <w:r w:rsidR="00A40233">
        <w:rPr>
          <w:b w:val="0"/>
        </w:rPr>
        <w:t>summarizing</w:t>
      </w:r>
      <w:r w:rsidR="00A94D28">
        <w:rPr>
          <w:b w:val="0"/>
        </w:rPr>
        <w:t xml:space="preserve"> </w:t>
      </w:r>
      <w:r w:rsidR="00A40233">
        <w:rPr>
          <w:b w:val="0"/>
        </w:rPr>
        <w:t xml:space="preserve">the </w:t>
      </w:r>
      <w:r w:rsidR="00A94D28">
        <w:rPr>
          <w:b w:val="0"/>
        </w:rPr>
        <w:t xml:space="preserve">report very briefly. </w:t>
      </w:r>
    </w:p>
    <w:p w:rsidR="009129E1" w:rsidRDefault="00A94D28" w:rsidP="00CA4286">
      <w:pPr>
        <w:pStyle w:val="CentreBold"/>
        <w:jc w:val="both"/>
        <w:rPr>
          <w:b w:val="0"/>
        </w:rPr>
      </w:pPr>
      <w:r>
        <w:rPr>
          <w:b w:val="0"/>
        </w:rPr>
        <w:t>The appraisal report contained a disclaimer provision stating that no party save for the investment firm was permitted to rely on the report without prior permission. There was another di</w:t>
      </w:r>
      <w:r w:rsidR="00A40233">
        <w:rPr>
          <w:b w:val="0"/>
        </w:rPr>
        <w:t xml:space="preserve">sclaimer that </w:t>
      </w:r>
      <w:r>
        <w:rPr>
          <w:b w:val="0"/>
        </w:rPr>
        <w:t xml:space="preserve">stated that the investment firm was not permitted to circulate the report </w:t>
      </w:r>
      <w:r w:rsidR="00BF5B01">
        <w:rPr>
          <w:b w:val="0"/>
        </w:rPr>
        <w:t xml:space="preserve">without prior permission. No permission had been granted for either. </w:t>
      </w:r>
    </w:p>
    <w:p w:rsidR="00A94D28" w:rsidRDefault="00BF5B01" w:rsidP="00CA4286">
      <w:pPr>
        <w:pStyle w:val="CentreBold"/>
        <w:jc w:val="both"/>
        <w:rPr>
          <w:b w:val="0"/>
        </w:rPr>
      </w:pPr>
      <w:r>
        <w:rPr>
          <w:b w:val="0"/>
        </w:rPr>
        <w:lastRenderedPageBreak/>
        <w:t xml:space="preserve">The </w:t>
      </w:r>
      <w:r>
        <w:rPr>
          <w:b w:val="0"/>
          <w:i/>
        </w:rPr>
        <w:t xml:space="preserve">Barkley </w:t>
      </w:r>
      <w:r>
        <w:rPr>
          <w:b w:val="0"/>
        </w:rPr>
        <w:t xml:space="preserve">case was a </w:t>
      </w:r>
      <w:r w:rsidR="000B19EB">
        <w:rPr>
          <w:b w:val="0"/>
        </w:rPr>
        <w:t xml:space="preserve">proposed </w:t>
      </w:r>
      <w:r>
        <w:rPr>
          <w:b w:val="0"/>
        </w:rPr>
        <w:t>class action. The representative plaintiffs brought a motion to certify the class action</w:t>
      </w:r>
      <w:r w:rsidR="00DC2950">
        <w:rPr>
          <w:b w:val="0"/>
        </w:rPr>
        <w:t xml:space="preserve"> on behalf of all</w:t>
      </w:r>
      <w:r w:rsidR="00A40233">
        <w:rPr>
          <w:b w:val="0"/>
        </w:rPr>
        <w:t xml:space="preserve"> investors</w:t>
      </w:r>
      <w:r>
        <w:rPr>
          <w:b w:val="0"/>
        </w:rPr>
        <w:t xml:space="preserve">. The appraiser resisted this motion on multiple grounds, but the only ground considered by the motions judge was whether the Statement of Claim disclosed a reasonable cause of action. </w:t>
      </w:r>
    </w:p>
    <w:p w:rsidR="00BF5B01" w:rsidRDefault="00A40233" w:rsidP="00CA4286">
      <w:pPr>
        <w:pStyle w:val="CentreBold"/>
        <w:jc w:val="both"/>
        <w:rPr>
          <w:b w:val="0"/>
        </w:rPr>
      </w:pPr>
      <w:r>
        <w:rPr>
          <w:b w:val="0"/>
        </w:rPr>
        <w:t>To obtain a dismissal at this stage, the court had to find that the claim against the appraiser</w:t>
      </w:r>
      <w:r w:rsidR="00BF5B01">
        <w:rPr>
          <w:b w:val="0"/>
        </w:rPr>
        <w:t xml:space="preserve"> had no reasonable prospect of success. The appraiser met this threshold. </w:t>
      </w:r>
      <w:r w:rsidR="0085173A">
        <w:rPr>
          <w:b w:val="0"/>
        </w:rPr>
        <w:t xml:space="preserve">The motions judge found that the investors were not permitted to rely on the report because of the disclaimer language. Accordingly, the court found </w:t>
      </w:r>
      <w:r w:rsidR="00BF5B01">
        <w:rPr>
          <w:b w:val="0"/>
        </w:rPr>
        <w:t xml:space="preserve">the appraiser owed no duty of care to the investors. </w:t>
      </w:r>
    </w:p>
    <w:p w:rsidR="00BF5B01" w:rsidRDefault="00BF5B01" w:rsidP="00CA4286">
      <w:pPr>
        <w:pStyle w:val="CentreBold"/>
        <w:jc w:val="both"/>
        <w:rPr>
          <w:b w:val="0"/>
        </w:rPr>
      </w:pPr>
      <w:r>
        <w:rPr>
          <w:b w:val="0"/>
        </w:rPr>
        <w:t xml:space="preserve">The motions judge also ruled that even </w:t>
      </w:r>
      <w:r w:rsidR="0085173A">
        <w:rPr>
          <w:b w:val="0"/>
        </w:rPr>
        <w:t>if a duty of care was owed</w:t>
      </w:r>
      <w:r>
        <w:rPr>
          <w:b w:val="0"/>
        </w:rPr>
        <w:t>, the fact that the investors never saw the appraisal report meant that they could never prove reasonable reliance</w:t>
      </w:r>
      <w:r w:rsidR="00D06A53">
        <w:rPr>
          <w:b w:val="0"/>
        </w:rPr>
        <w:t xml:space="preserve"> – a necessary element for a misrepresentation claim</w:t>
      </w:r>
      <w:r w:rsidR="0085173A">
        <w:rPr>
          <w:b w:val="0"/>
        </w:rPr>
        <w:t>. The motions judge found that the investors’ claims had no reasonable prospect of success for this second reason.</w:t>
      </w:r>
      <w:r w:rsidR="0049296D">
        <w:rPr>
          <w:b w:val="0"/>
        </w:rPr>
        <w:t xml:space="preserve"> The motions judges’ decision is reported at</w:t>
      </w:r>
      <w:r w:rsidR="0049296D" w:rsidRPr="0049296D">
        <w:t xml:space="preserve"> </w:t>
      </w:r>
      <w:r w:rsidR="0049296D" w:rsidRPr="0049296D">
        <w:rPr>
          <w:b w:val="0"/>
          <w:i/>
        </w:rPr>
        <w:t>Barkley v. Tier 1 Capital Management Inc</w:t>
      </w:r>
      <w:r w:rsidR="0049296D" w:rsidRPr="0049296D">
        <w:rPr>
          <w:b w:val="0"/>
        </w:rPr>
        <w:t xml:space="preserve">., 2018 </w:t>
      </w:r>
      <w:proofErr w:type="spellStart"/>
      <w:r w:rsidR="0049296D" w:rsidRPr="0049296D">
        <w:rPr>
          <w:b w:val="0"/>
        </w:rPr>
        <w:t>ONSC</w:t>
      </w:r>
      <w:proofErr w:type="spellEnd"/>
      <w:r w:rsidR="0049296D" w:rsidRPr="0049296D">
        <w:rPr>
          <w:b w:val="0"/>
        </w:rPr>
        <w:t xml:space="preserve"> 1956</w:t>
      </w:r>
      <w:r w:rsidR="0049296D">
        <w:rPr>
          <w:b w:val="0"/>
        </w:rPr>
        <w:t>.</w:t>
      </w:r>
    </w:p>
    <w:p w:rsidR="00BF5B01" w:rsidRDefault="00BF5B01" w:rsidP="00CA4286">
      <w:pPr>
        <w:pStyle w:val="CentreBold"/>
        <w:jc w:val="both"/>
        <w:rPr>
          <w:b w:val="0"/>
        </w:rPr>
      </w:pPr>
      <w:r>
        <w:rPr>
          <w:b w:val="0"/>
        </w:rPr>
        <w:t xml:space="preserve">The investors appealed but the Court of Appeal upheld the lower court decision in full. </w:t>
      </w:r>
    </w:p>
    <w:p w:rsidR="00F748BF" w:rsidRDefault="000C180A" w:rsidP="00CA4286">
      <w:pPr>
        <w:pStyle w:val="CentreBold"/>
        <w:jc w:val="both"/>
        <w:rPr>
          <w:b w:val="0"/>
        </w:rPr>
      </w:pPr>
      <w:r>
        <w:rPr>
          <w:b w:val="0"/>
        </w:rPr>
        <w:t xml:space="preserve">The </w:t>
      </w:r>
      <w:r>
        <w:rPr>
          <w:b w:val="0"/>
          <w:i/>
        </w:rPr>
        <w:t xml:space="preserve">Barkley </w:t>
      </w:r>
      <w:r w:rsidR="0085173A">
        <w:rPr>
          <w:b w:val="0"/>
        </w:rPr>
        <w:t>decision</w:t>
      </w:r>
      <w:r>
        <w:rPr>
          <w:b w:val="0"/>
        </w:rPr>
        <w:t xml:space="preserve"> represents a powerful precedent in the defence of professionals in negligent misrepresentation cases. Although the decision itself was largely an application of the legal concepts in </w:t>
      </w:r>
      <w:proofErr w:type="spellStart"/>
      <w:r>
        <w:rPr>
          <w:b w:val="0"/>
          <w:i/>
        </w:rPr>
        <w:t>Livent</w:t>
      </w:r>
      <w:proofErr w:type="spellEnd"/>
      <w:r>
        <w:rPr>
          <w:b w:val="0"/>
          <w:i/>
        </w:rPr>
        <w:t xml:space="preserve"> </w:t>
      </w:r>
      <w:r>
        <w:rPr>
          <w:b w:val="0"/>
        </w:rPr>
        <w:t xml:space="preserve">and </w:t>
      </w:r>
      <w:r>
        <w:rPr>
          <w:b w:val="0"/>
          <w:i/>
        </w:rPr>
        <w:t>Lavender</w:t>
      </w:r>
      <w:r>
        <w:rPr>
          <w:b w:val="0"/>
        </w:rPr>
        <w:t xml:space="preserve">, </w:t>
      </w:r>
      <w:r>
        <w:rPr>
          <w:b w:val="0"/>
          <w:i/>
        </w:rPr>
        <w:t xml:space="preserve">Barkley </w:t>
      </w:r>
      <w:r>
        <w:rPr>
          <w:b w:val="0"/>
        </w:rPr>
        <w:t xml:space="preserve">is the first case to </w:t>
      </w:r>
      <w:r w:rsidR="00AB00DE">
        <w:rPr>
          <w:b w:val="0"/>
        </w:rPr>
        <w:t>apply these cases to achieve a dismissal</w:t>
      </w:r>
      <w:r>
        <w:rPr>
          <w:b w:val="0"/>
        </w:rPr>
        <w:t xml:space="preserve"> at the pleadings stage. The only materials before the court in </w:t>
      </w:r>
      <w:r>
        <w:rPr>
          <w:b w:val="0"/>
          <w:i/>
        </w:rPr>
        <w:t xml:space="preserve">Barkley </w:t>
      </w:r>
      <w:r>
        <w:rPr>
          <w:b w:val="0"/>
        </w:rPr>
        <w:t>w</w:t>
      </w:r>
      <w:r w:rsidR="0085173A">
        <w:rPr>
          <w:b w:val="0"/>
        </w:rPr>
        <w:t>ere</w:t>
      </w:r>
      <w:r w:rsidR="00F748BF">
        <w:rPr>
          <w:b w:val="0"/>
        </w:rPr>
        <w:t xml:space="preserve"> </w:t>
      </w:r>
      <w:r>
        <w:rPr>
          <w:b w:val="0"/>
        </w:rPr>
        <w:t>the Statement of Claim and the appr</w:t>
      </w:r>
      <w:r w:rsidR="00F748BF">
        <w:rPr>
          <w:b w:val="0"/>
        </w:rPr>
        <w:t xml:space="preserve">aisal report, </w:t>
      </w:r>
      <w:r>
        <w:rPr>
          <w:b w:val="0"/>
        </w:rPr>
        <w:t>which was expl</w:t>
      </w:r>
      <w:r w:rsidR="00F748BF">
        <w:rPr>
          <w:b w:val="0"/>
        </w:rPr>
        <w:t>icitly referred to in the Claim</w:t>
      </w:r>
      <w:r>
        <w:rPr>
          <w:b w:val="0"/>
        </w:rPr>
        <w:t xml:space="preserve">. </w:t>
      </w:r>
    </w:p>
    <w:p w:rsidR="00F748BF" w:rsidRDefault="000C180A">
      <w:pPr>
        <w:pStyle w:val="CentreBold"/>
        <w:jc w:val="both"/>
        <w:rPr>
          <w:b w:val="0"/>
        </w:rPr>
      </w:pPr>
      <w:r>
        <w:rPr>
          <w:b w:val="0"/>
        </w:rPr>
        <w:t xml:space="preserve">The investors in </w:t>
      </w:r>
      <w:r>
        <w:rPr>
          <w:b w:val="0"/>
          <w:i/>
        </w:rPr>
        <w:t xml:space="preserve">Barkley </w:t>
      </w:r>
      <w:r>
        <w:rPr>
          <w:b w:val="0"/>
        </w:rPr>
        <w:t xml:space="preserve">attempted to argue at </w:t>
      </w:r>
      <w:r w:rsidR="00F748BF">
        <w:rPr>
          <w:b w:val="0"/>
        </w:rPr>
        <w:t xml:space="preserve">both </w:t>
      </w:r>
      <w:r>
        <w:rPr>
          <w:b w:val="0"/>
        </w:rPr>
        <w:t>the original motion and the appeal that the claim should be permitted to proceed to discoveries. Both cour</w:t>
      </w:r>
      <w:r w:rsidR="00F748BF">
        <w:rPr>
          <w:b w:val="0"/>
        </w:rPr>
        <w:t>ts rejected this argument and determined that the case could be d</w:t>
      </w:r>
      <w:r w:rsidR="004C736D">
        <w:rPr>
          <w:b w:val="0"/>
        </w:rPr>
        <w:t>ismissed</w:t>
      </w:r>
      <w:r w:rsidR="00F748BF">
        <w:rPr>
          <w:b w:val="0"/>
        </w:rPr>
        <w:t xml:space="preserve"> solely on the pleaded Claim and the disclaimer language in the report. </w:t>
      </w:r>
      <w:bookmarkStart w:id="0" w:name="_GoBack"/>
      <w:bookmarkEnd w:id="0"/>
    </w:p>
    <w:p w:rsidR="00040009" w:rsidRPr="00040009" w:rsidRDefault="00040009">
      <w:pPr>
        <w:pStyle w:val="CentreBold"/>
        <w:jc w:val="both"/>
        <w:rPr>
          <w:b w:val="0"/>
          <w:i/>
        </w:rPr>
      </w:pPr>
      <w:r>
        <w:rPr>
          <w:b w:val="0"/>
          <w:i/>
        </w:rPr>
        <w:t xml:space="preserve">Chris Afonso is lawyer at Stieber </w:t>
      </w:r>
      <w:proofErr w:type="spellStart"/>
      <w:r>
        <w:rPr>
          <w:b w:val="0"/>
          <w:i/>
        </w:rPr>
        <w:t>Berlach</w:t>
      </w:r>
      <w:proofErr w:type="spellEnd"/>
      <w:r>
        <w:rPr>
          <w:b w:val="0"/>
          <w:i/>
        </w:rPr>
        <w:t xml:space="preserve"> LLP </w:t>
      </w:r>
      <w:r w:rsidR="00774BFE">
        <w:rPr>
          <w:b w:val="0"/>
          <w:i/>
        </w:rPr>
        <w:t xml:space="preserve">who specializes in professional negligence defence, class actions, insurance coverage and other specialty insurance matters. </w:t>
      </w:r>
    </w:p>
    <w:sectPr w:rsidR="00040009" w:rsidRPr="00040009" w:rsidSect="00040009">
      <w:headerReference w:type="default" r:id="rId7"/>
      <w:headerReference w:type="first" r:id="rId8"/>
      <w:pgSz w:w="12240" w:h="15840" w:code="1"/>
      <w:pgMar w:top="180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141" w:rsidRDefault="00207141">
      <w:r>
        <w:separator/>
      </w:r>
    </w:p>
  </w:endnote>
  <w:endnote w:type="continuationSeparator" w:id="0">
    <w:p w:rsidR="00207141" w:rsidRDefault="0020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141" w:rsidRDefault="00207141">
      <w:r>
        <w:separator/>
      </w:r>
    </w:p>
  </w:footnote>
  <w:footnote w:type="continuationSeparator" w:id="0">
    <w:p w:rsidR="00207141" w:rsidRDefault="00207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EB" w:rsidRPr="004906B8" w:rsidRDefault="001F2DEB" w:rsidP="00BA0FB3">
    <w:pPr>
      <w:pStyle w:val="Header"/>
      <w:jc w:val="center"/>
      <w:rPr>
        <w:rStyle w:val="PageNumber"/>
      </w:rPr>
    </w:pPr>
    <w:r w:rsidRPr="004906B8">
      <w:rPr>
        <w:rStyle w:val="PageNumber"/>
      </w:rPr>
      <w:t xml:space="preserve">- </w:t>
    </w:r>
    <w:r w:rsidRPr="004906B8">
      <w:rPr>
        <w:rStyle w:val="PageNumber"/>
      </w:rPr>
      <w:fldChar w:fldCharType="begin"/>
    </w:r>
    <w:r w:rsidRPr="004906B8">
      <w:rPr>
        <w:rStyle w:val="PageNumber"/>
      </w:rPr>
      <w:instrText xml:space="preserve"> PAGE  \* MERGEFORMAT </w:instrText>
    </w:r>
    <w:r w:rsidRPr="004906B8">
      <w:rPr>
        <w:rStyle w:val="PageNumber"/>
      </w:rPr>
      <w:fldChar w:fldCharType="separate"/>
    </w:r>
    <w:r w:rsidR="00DC2950">
      <w:rPr>
        <w:rStyle w:val="PageNumber"/>
        <w:noProof/>
      </w:rPr>
      <w:t>2</w:t>
    </w:r>
    <w:r w:rsidRPr="004906B8">
      <w:rPr>
        <w:rStyle w:val="PageNumber"/>
      </w:rPr>
      <w:fldChar w:fldCharType="end"/>
    </w:r>
    <w:r w:rsidRPr="004906B8"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EB" w:rsidRDefault="00DC2950" w:rsidP="00BA0FB3">
    <w:pPr>
      <w:pStyle w:val="Header"/>
    </w:pPr>
    <w:bookmarkStart w:id="1" w:name="ltrheadp1"/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540pt;height:62.65pt;z-index:251660288;mso-position-horizontal:center;mso-position-horizontal-relative:page;mso-position-vertical:bottom;mso-position-vertical-relative:page" filled="f" stroked="f">
          <v:textbox style="mso-next-textbox:#_x0000_s2050" inset="0,0,0,0">
            <w:txbxContent>
              <w:tbl>
                <w:tblPr>
                  <w:tblW w:w="10800" w:type="dxa"/>
                  <w:jc w:val="center"/>
                  <w:tblBorders>
                    <w:bottom w:val="single" w:sz="12" w:space="0" w:color="9BB1C7"/>
                  </w:tblBorders>
                  <w:tblLook w:val="01E0" w:firstRow="1" w:lastRow="1" w:firstColumn="1" w:lastColumn="1" w:noHBand="0" w:noVBand="0"/>
                </w:tblPr>
                <w:tblGrid>
                  <w:gridCol w:w="10800"/>
                </w:tblGrid>
                <w:tr w:rsidR="00040009" w:rsidRPr="00BB365E" w:rsidTr="00C94BCA">
                  <w:trPr>
                    <w:cantSplit/>
                    <w:trHeight w:hRule="exact" w:val="510"/>
                    <w:jc w:val="center"/>
                  </w:trPr>
                  <w:tc>
                    <w:tcPr>
                      <w:tcW w:w="0" w:type="auto"/>
                      <w:shd w:val="clear" w:color="auto" w:fill="auto"/>
                    </w:tcPr>
                    <w:p w:rsidR="00040009" w:rsidRPr="00BB365E" w:rsidRDefault="00DC2950" w:rsidP="00C94BCA">
                      <w:pPr>
                        <w:spacing w:after="0"/>
                        <w:jc w:val="center"/>
                      </w:pPr>
                      <w: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6" type="#_x0000_t75" style="width:379.5pt;height:10.5pt">
                            <v:imagedata r:id="rId1" o:title="SB-ltrhead-footer"/>
                          </v:shape>
                        </w:pict>
                      </w:r>
                    </w:p>
                  </w:tc>
                </w:tr>
              </w:tbl>
              <w:p w:rsidR="00040009" w:rsidRPr="00EB2767" w:rsidRDefault="00040009" w:rsidP="00BB365E">
                <w:pPr>
                  <w:pBdr>
                    <w:bottom w:val="single" w:sz="4" w:space="1" w:color="auto"/>
                  </w:pBdr>
                  <w:spacing w:after="0"/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049" type="#_x0000_t202" style="position:absolute;margin-left:36pt;margin-top:27.35pt;width:184.25pt;height:54pt;z-index:251659264;mso-position-horizontal-relative:page;mso-position-vertical-relative:page" o:allowincell="f" filled="f" stroked="f">
          <v:textbox style="mso-next-textbox:#_x0000_s2049" inset="0,0,0,0">
            <w:txbxContent>
              <w:p w:rsidR="00040009" w:rsidRPr="00EB2767" w:rsidRDefault="00DC2950" w:rsidP="00EB2767">
                <w:pPr>
                  <w:spacing w:after="0"/>
                </w:pPr>
                <w:r>
                  <w:pict>
                    <v:shape id="_x0000_i1028" type="#_x0000_t75" style="width:171.75pt;height:45pt">
                      <v:imagedata r:id="rId2" o:title="SB-logo-CMYK-2"/>
                    </v:shape>
                  </w:pict>
                </w:r>
              </w:p>
            </w:txbxContent>
          </v:textbox>
          <w10:wrap anchorx="page" anchory="page"/>
          <w10:anchorlock/>
        </v:shape>
      </w:pic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2C8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92C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32B6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2AB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94C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946F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0E5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EA9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C8F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CEB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CD2789"/>
    <w:multiLevelType w:val="singleLevel"/>
    <w:tmpl w:val="85300994"/>
    <w:name w:val="Bulle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aperType" w:val="plain"/>
    <w:docVar w:name="PreOverlayPaperType" w:val="plain"/>
  </w:docVars>
  <w:rsids>
    <w:rsidRoot w:val="00207141"/>
    <w:rsid w:val="000032C7"/>
    <w:rsid w:val="00016C09"/>
    <w:rsid w:val="00031093"/>
    <w:rsid w:val="00040009"/>
    <w:rsid w:val="000552E2"/>
    <w:rsid w:val="000B19EB"/>
    <w:rsid w:val="000C180A"/>
    <w:rsid w:val="000C5DAC"/>
    <w:rsid w:val="0014432F"/>
    <w:rsid w:val="00197543"/>
    <w:rsid w:val="001F2DEB"/>
    <w:rsid w:val="00207141"/>
    <w:rsid w:val="00315ED7"/>
    <w:rsid w:val="00326CAD"/>
    <w:rsid w:val="00375FED"/>
    <w:rsid w:val="003A0D07"/>
    <w:rsid w:val="00410236"/>
    <w:rsid w:val="004318BB"/>
    <w:rsid w:val="00436448"/>
    <w:rsid w:val="0049296D"/>
    <w:rsid w:val="004C736D"/>
    <w:rsid w:val="004F6A13"/>
    <w:rsid w:val="0050028F"/>
    <w:rsid w:val="00514A5A"/>
    <w:rsid w:val="00517A95"/>
    <w:rsid w:val="00582498"/>
    <w:rsid w:val="005E6AA7"/>
    <w:rsid w:val="005F789B"/>
    <w:rsid w:val="006D5569"/>
    <w:rsid w:val="00774BFE"/>
    <w:rsid w:val="007B67EE"/>
    <w:rsid w:val="007D2392"/>
    <w:rsid w:val="007D389B"/>
    <w:rsid w:val="007D7DE6"/>
    <w:rsid w:val="00840963"/>
    <w:rsid w:val="0085173A"/>
    <w:rsid w:val="009129E1"/>
    <w:rsid w:val="009538B1"/>
    <w:rsid w:val="009C5713"/>
    <w:rsid w:val="009D1313"/>
    <w:rsid w:val="00A243BB"/>
    <w:rsid w:val="00A40233"/>
    <w:rsid w:val="00A52FD0"/>
    <w:rsid w:val="00A65089"/>
    <w:rsid w:val="00A67ADE"/>
    <w:rsid w:val="00A94D28"/>
    <w:rsid w:val="00AB00DE"/>
    <w:rsid w:val="00B45BAC"/>
    <w:rsid w:val="00B86AA6"/>
    <w:rsid w:val="00BA0FB3"/>
    <w:rsid w:val="00BD392A"/>
    <w:rsid w:val="00BE712C"/>
    <w:rsid w:val="00BF5B01"/>
    <w:rsid w:val="00BF5F83"/>
    <w:rsid w:val="00C54702"/>
    <w:rsid w:val="00CA4286"/>
    <w:rsid w:val="00D06A53"/>
    <w:rsid w:val="00DC2950"/>
    <w:rsid w:val="00E8503D"/>
    <w:rsid w:val="00E92A87"/>
    <w:rsid w:val="00F40C66"/>
    <w:rsid w:val="00F748BF"/>
    <w:rsid w:val="00FE0AAC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docId w15:val="{3EE8BECA-22BC-4619-BDEE-56138309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DE"/>
    <w:pPr>
      <w:spacing w:after="24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31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20"/>
    <w:next w:val="Normal"/>
    <w:semiHidden/>
    <w:qFormat/>
    <w:rsid w:val="00BA0FB3"/>
    <w:rPr>
      <w:rFonts w:cs="Arial"/>
      <w:b w:val="0"/>
      <w:bCs/>
      <w:iCs/>
      <w:szCs w:val="28"/>
    </w:rPr>
  </w:style>
  <w:style w:type="paragraph" w:styleId="Heading3">
    <w:name w:val="heading 3"/>
    <w:basedOn w:val="Heading30"/>
    <w:next w:val="Normal"/>
    <w:semiHidden/>
    <w:qFormat/>
    <w:rsid w:val="00BA0FB3"/>
    <w:rPr>
      <w:rFonts w:cs="Arial"/>
      <w:b w:val="0"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0FB3"/>
    <w:rPr>
      <w:rFonts w:ascii="Tahoma" w:hAnsi="Tahoma"/>
      <w:sz w:val="16"/>
      <w:szCs w:val="16"/>
    </w:rPr>
  </w:style>
  <w:style w:type="paragraph" w:customStyle="1" w:styleId="Block">
    <w:name w:val="Block"/>
    <w:aliases w:val="B"/>
    <w:basedOn w:val="Normal"/>
    <w:rsid w:val="00BA0FB3"/>
    <w:pPr>
      <w:ind w:left="720" w:right="720"/>
    </w:pPr>
  </w:style>
  <w:style w:type="paragraph" w:customStyle="1" w:styleId="Block1">
    <w:name w:val="Block1"/>
    <w:aliases w:val="B1"/>
    <w:basedOn w:val="Block"/>
    <w:rsid w:val="00BA0FB3"/>
    <w:pPr>
      <w:ind w:left="1440" w:right="1440"/>
    </w:pPr>
  </w:style>
  <w:style w:type="paragraph" w:customStyle="1" w:styleId="Block2">
    <w:name w:val="Block2"/>
    <w:aliases w:val="B2"/>
    <w:basedOn w:val="Block"/>
    <w:rsid w:val="00BA0FB3"/>
    <w:pPr>
      <w:ind w:left="2160" w:right="2160"/>
    </w:pPr>
  </w:style>
  <w:style w:type="paragraph" w:customStyle="1" w:styleId="Block3">
    <w:name w:val="Block3"/>
    <w:aliases w:val="B3"/>
    <w:basedOn w:val="Block"/>
    <w:rsid w:val="00BA0FB3"/>
    <w:pPr>
      <w:ind w:left="2880" w:right="2880"/>
    </w:pPr>
  </w:style>
  <w:style w:type="paragraph" w:customStyle="1" w:styleId="Cite">
    <w:name w:val="Cite"/>
    <w:aliases w:val="C"/>
    <w:basedOn w:val="NormalSingle"/>
    <w:next w:val="Normal"/>
    <w:rsid w:val="00016C09"/>
    <w:pPr>
      <w:keepLines/>
      <w:ind w:left="1440" w:right="1440"/>
    </w:pPr>
    <w:rPr>
      <w:i/>
      <w:sz w:val="20"/>
    </w:rPr>
  </w:style>
  <w:style w:type="paragraph" w:customStyle="1" w:styleId="NormalSingle">
    <w:name w:val="Normal Single"/>
    <w:rsid w:val="00B86AA6"/>
    <w:pPr>
      <w:spacing w:after="240"/>
      <w:jc w:val="both"/>
    </w:pPr>
    <w:rPr>
      <w:rFonts w:ascii="Arial" w:hAnsi="Arial"/>
      <w:sz w:val="24"/>
      <w:lang w:eastAsia="en-US"/>
    </w:rPr>
  </w:style>
  <w:style w:type="paragraph" w:styleId="Footer">
    <w:name w:val="footer"/>
    <w:basedOn w:val="Normal"/>
    <w:rsid w:val="00031093"/>
    <w:pPr>
      <w:tabs>
        <w:tab w:val="center" w:pos="4680"/>
        <w:tab w:val="right" w:pos="9360"/>
      </w:tabs>
      <w:spacing w:after="0"/>
      <w:jc w:val="left"/>
    </w:pPr>
  </w:style>
  <w:style w:type="character" w:styleId="FootnoteReference">
    <w:name w:val="footnote reference"/>
    <w:basedOn w:val="DefaultParagraphFont"/>
    <w:semiHidden/>
    <w:rsid w:val="00BA0FB3"/>
    <w:rPr>
      <w:vertAlign w:val="superscript"/>
    </w:rPr>
  </w:style>
  <w:style w:type="paragraph" w:styleId="FootnoteText">
    <w:name w:val="footnote text"/>
    <w:basedOn w:val="PlainSingle"/>
    <w:semiHidden/>
    <w:rsid w:val="00BA0FB3"/>
    <w:pPr>
      <w:ind w:left="720" w:hanging="720"/>
    </w:pPr>
    <w:rPr>
      <w:sz w:val="20"/>
    </w:rPr>
  </w:style>
  <w:style w:type="paragraph" w:customStyle="1" w:styleId="Hanging">
    <w:name w:val="Hanging"/>
    <w:aliases w:val="H"/>
    <w:basedOn w:val="Normal"/>
    <w:rsid w:val="00BA0FB3"/>
    <w:pPr>
      <w:ind w:left="720" w:hanging="720"/>
    </w:pPr>
  </w:style>
  <w:style w:type="paragraph" w:styleId="Header">
    <w:name w:val="header"/>
    <w:basedOn w:val="Normal"/>
    <w:rsid w:val="00031093"/>
    <w:pPr>
      <w:tabs>
        <w:tab w:val="center" w:pos="4680"/>
        <w:tab w:val="right" w:pos="9360"/>
      </w:tabs>
      <w:jc w:val="left"/>
    </w:pPr>
  </w:style>
  <w:style w:type="paragraph" w:customStyle="1" w:styleId="Heading10">
    <w:name w:val="Heading1"/>
    <w:aliases w:val="H1"/>
    <w:basedOn w:val="NormalSingle"/>
    <w:next w:val="Normal"/>
    <w:rsid w:val="00BA0FB3"/>
    <w:pPr>
      <w:keepNext/>
      <w:spacing w:before="120" w:after="120"/>
      <w:jc w:val="left"/>
      <w:outlineLvl w:val="0"/>
    </w:pPr>
    <w:rPr>
      <w:b/>
      <w:szCs w:val="24"/>
    </w:rPr>
  </w:style>
  <w:style w:type="paragraph" w:customStyle="1" w:styleId="Heading1Centre">
    <w:name w:val="Heading1Centre"/>
    <w:aliases w:val="H1C"/>
    <w:basedOn w:val="Heading10"/>
    <w:next w:val="Normal"/>
    <w:rsid w:val="00BA0FB3"/>
    <w:pPr>
      <w:spacing w:after="480"/>
      <w:jc w:val="center"/>
      <w:outlineLvl w:val="9"/>
    </w:pPr>
    <w:rPr>
      <w:sz w:val="28"/>
      <w:szCs w:val="28"/>
    </w:rPr>
  </w:style>
  <w:style w:type="paragraph" w:customStyle="1" w:styleId="Heading20">
    <w:name w:val="Heading2"/>
    <w:aliases w:val="H2"/>
    <w:basedOn w:val="NormalSingle"/>
    <w:next w:val="Normal"/>
    <w:rsid w:val="005F789B"/>
    <w:pPr>
      <w:keepNext/>
      <w:spacing w:before="120" w:after="120"/>
      <w:jc w:val="left"/>
      <w:outlineLvl w:val="1"/>
    </w:pPr>
    <w:rPr>
      <w:b/>
      <w:i/>
    </w:rPr>
  </w:style>
  <w:style w:type="paragraph" w:customStyle="1" w:styleId="Heading2NoToc">
    <w:name w:val="Heading2NoToc"/>
    <w:aliases w:val="H2NT"/>
    <w:basedOn w:val="Heading20"/>
    <w:next w:val="Normal"/>
    <w:rsid w:val="00BA0FB3"/>
    <w:pPr>
      <w:outlineLvl w:val="9"/>
    </w:pPr>
  </w:style>
  <w:style w:type="paragraph" w:customStyle="1" w:styleId="Heading30">
    <w:name w:val="Heading3"/>
    <w:aliases w:val="H3"/>
    <w:basedOn w:val="NormalSingle"/>
    <w:next w:val="Normal"/>
    <w:rsid w:val="00BA0FB3"/>
    <w:pPr>
      <w:keepNext/>
      <w:spacing w:before="120" w:after="120"/>
      <w:jc w:val="left"/>
      <w:outlineLvl w:val="2"/>
    </w:pPr>
    <w:rPr>
      <w:b/>
    </w:rPr>
  </w:style>
  <w:style w:type="paragraph" w:customStyle="1" w:styleId="Indent">
    <w:name w:val="Indent"/>
    <w:aliases w:val="In"/>
    <w:basedOn w:val="Normal"/>
    <w:rsid w:val="00BA0FB3"/>
    <w:pPr>
      <w:ind w:left="720"/>
    </w:pPr>
  </w:style>
  <w:style w:type="paragraph" w:customStyle="1" w:styleId="Indent1">
    <w:name w:val="Indent1"/>
    <w:aliases w:val="I1"/>
    <w:basedOn w:val="Indent"/>
    <w:rsid w:val="00BA0FB3"/>
    <w:pPr>
      <w:ind w:left="1440"/>
    </w:pPr>
  </w:style>
  <w:style w:type="paragraph" w:customStyle="1" w:styleId="Indent2">
    <w:name w:val="Indent2"/>
    <w:aliases w:val="I2"/>
    <w:basedOn w:val="Indent"/>
    <w:rsid w:val="00BA0FB3"/>
    <w:pPr>
      <w:ind w:left="2160"/>
    </w:pPr>
  </w:style>
  <w:style w:type="paragraph" w:customStyle="1" w:styleId="Indent3">
    <w:name w:val="Indent3"/>
    <w:aliases w:val="I3"/>
    <w:basedOn w:val="Indent"/>
    <w:rsid w:val="00BA0FB3"/>
    <w:pPr>
      <w:ind w:left="2880"/>
    </w:pPr>
  </w:style>
  <w:style w:type="paragraph" w:customStyle="1" w:styleId="Left">
    <w:name w:val="Left"/>
    <w:aliases w:val="L"/>
    <w:basedOn w:val="Normal"/>
    <w:rsid w:val="00BA0FB3"/>
    <w:pPr>
      <w:jc w:val="left"/>
    </w:pPr>
  </w:style>
  <w:style w:type="character" w:styleId="PageNumber">
    <w:name w:val="page number"/>
    <w:basedOn w:val="DefaultParagraphFont"/>
    <w:rsid w:val="00BA0FB3"/>
    <w:rPr>
      <w:sz w:val="24"/>
      <w:szCs w:val="24"/>
    </w:rPr>
  </w:style>
  <w:style w:type="paragraph" w:customStyle="1" w:styleId="PlainSingle">
    <w:name w:val="Plain Single"/>
    <w:basedOn w:val="NormalSingle"/>
    <w:rsid w:val="00BA0FB3"/>
    <w:pPr>
      <w:spacing w:after="0"/>
      <w:jc w:val="left"/>
    </w:pPr>
  </w:style>
  <w:style w:type="paragraph" w:customStyle="1" w:styleId="Plain">
    <w:name w:val="Plain"/>
    <w:basedOn w:val="Normal"/>
    <w:rsid w:val="009D1313"/>
    <w:pPr>
      <w:spacing w:after="0"/>
    </w:pPr>
  </w:style>
  <w:style w:type="character" w:customStyle="1" w:styleId="Prompt">
    <w:name w:val="Prompt"/>
    <w:rsid w:val="00BA0FB3"/>
    <w:rPr>
      <w:color w:val="0000FF"/>
    </w:rPr>
  </w:style>
  <w:style w:type="character" w:customStyle="1" w:styleId="Reference">
    <w:name w:val="Reference"/>
    <w:aliases w:val="Ref"/>
    <w:basedOn w:val="DefaultParagraphFont"/>
    <w:rsid w:val="00BA0FB3"/>
    <w:rPr>
      <w:b/>
      <w:sz w:val="16"/>
      <w:szCs w:val="16"/>
    </w:rPr>
  </w:style>
  <w:style w:type="paragraph" w:customStyle="1" w:styleId="Right">
    <w:name w:val="Right"/>
    <w:aliases w:val="R"/>
    <w:basedOn w:val="Normal"/>
    <w:rsid w:val="00BA0FB3"/>
    <w:pPr>
      <w:jc w:val="right"/>
    </w:pPr>
  </w:style>
  <w:style w:type="paragraph" w:customStyle="1" w:styleId="Tab">
    <w:name w:val="Tab"/>
    <w:aliases w:val="T"/>
    <w:basedOn w:val="Normal"/>
    <w:rsid w:val="00BA0FB3"/>
    <w:pPr>
      <w:ind w:firstLine="720"/>
    </w:pPr>
  </w:style>
  <w:style w:type="paragraph" w:customStyle="1" w:styleId="Tab1">
    <w:name w:val="Tab1"/>
    <w:aliases w:val="T1"/>
    <w:basedOn w:val="Tab"/>
    <w:rsid w:val="00BA0FB3"/>
    <w:pPr>
      <w:ind w:firstLine="1440"/>
    </w:pPr>
  </w:style>
  <w:style w:type="paragraph" w:customStyle="1" w:styleId="TableHeading">
    <w:name w:val="TableHeading"/>
    <w:aliases w:val="TH"/>
    <w:basedOn w:val="NormalSingle"/>
    <w:rsid w:val="00BA0FB3"/>
    <w:pPr>
      <w:keepNext/>
      <w:keepLines/>
      <w:spacing w:before="120" w:after="120"/>
      <w:jc w:val="center"/>
    </w:pPr>
    <w:rPr>
      <w:b/>
    </w:rPr>
  </w:style>
  <w:style w:type="paragraph" w:customStyle="1" w:styleId="TableText">
    <w:name w:val="TableText"/>
    <w:aliases w:val="TT"/>
    <w:basedOn w:val="Normal"/>
    <w:rsid w:val="00BA0FB3"/>
    <w:pPr>
      <w:spacing w:before="60" w:after="60"/>
      <w:jc w:val="left"/>
    </w:pPr>
  </w:style>
  <w:style w:type="paragraph" w:styleId="TOC1">
    <w:name w:val="toc 1"/>
    <w:basedOn w:val="Normal"/>
    <w:next w:val="Normal"/>
    <w:autoRedefine/>
    <w:semiHidden/>
    <w:rsid w:val="009D1313"/>
    <w:pPr>
      <w:tabs>
        <w:tab w:val="left" w:pos="720"/>
        <w:tab w:val="right" w:leader="dot" w:pos="9360"/>
      </w:tabs>
      <w:jc w:val="left"/>
    </w:pPr>
  </w:style>
  <w:style w:type="paragraph" w:styleId="TOC2">
    <w:name w:val="toc 2"/>
    <w:basedOn w:val="Normal"/>
    <w:next w:val="Normal"/>
    <w:autoRedefine/>
    <w:semiHidden/>
    <w:rsid w:val="009D1313"/>
    <w:pPr>
      <w:tabs>
        <w:tab w:val="left" w:pos="1440"/>
        <w:tab w:val="right" w:leader="dot" w:pos="9360"/>
      </w:tabs>
      <w:ind w:left="720"/>
      <w:jc w:val="left"/>
    </w:pPr>
  </w:style>
  <w:style w:type="character" w:customStyle="1" w:styleId="Bold">
    <w:name w:val="Bold"/>
    <w:rsid w:val="00315ED7"/>
    <w:rPr>
      <w:b/>
    </w:rPr>
  </w:style>
  <w:style w:type="character" w:customStyle="1" w:styleId="Underline">
    <w:name w:val="Underline"/>
    <w:rsid w:val="00315ED7"/>
    <w:rPr>
      <w:u w:val="single"/>
    </w:rPr>
  </w:style>
  <w:style w:type="character" w:customStyle="1" w:styleId="Italic">
    <w:name w:val="Italic"/>
    <w:rsid w:val="00315ED7"/>
    <w:rPr>
      <w:i/>
    </w:rPr>
  </w:style>
  <w:style w:type="character" w:customStyle="1" w:styleId="BoldItalic">
    <w:name w:val="BoldItalic"/>
    <w:rsid w:val="00315ED7"/>
    <w:rPr>
      <w:b/>
      <w:i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C5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KeepArial">
    <w:name w:val="KeepArial"/>
    <w:basedOn w:val="DefaultParagraphFont"/>
    <w:rsid w:val="00031093"/>
    <w:rPr>
      <w:rFonts w:ascii="Arial" w:hAnsi="Arial"/>
      <w:sz w:val="24"/>
    </w:rPr>
  </w:style>
  <w:style w:type="character" w:customStyle="1" w:styleId="KeepTimes">
    <w:name w:val="KeepTimes"/>
    <w:basedOn w:val="DefaultParagraphFont"/>
    <w:rsid w:val="00031093"/>
    <w:rPr>
      <w:rFonts w:ascii="Times New Roman" w:hAnsi="Times New Roman"/>
      <w:sz w:val="24"/>
    </w:rPr>
  </w:style>
  <w:style w:type="paragraph" w:customStyle="1" w:styleId="Quote1">
    <w:name w:val="Quote1"/>
    <w:aliases w:val="Q"/>
    <w:basedOn w:val="NormalSingle"/>
    <w:next w:val="Normal"/>
    <w:rsid w:val="00016C09"/>
    <w:pPr>
      <w:ind w:left="1440" w:right="1440"/>
    </w:pPr>
    <w:rPr>
      <w:i/>
    </w:rPr>
  </w:style>
  <w:style w:type="paragraph" w:customStyle="1" w:styleId="Centre">
    <w:name w:val="Centre"/>
    <w:basedOn w:val="Normal"/>
    <w:qFormat/>
    <w:rsid w:val="00016C09"/>
    <w:pPr>
      <w:jc w:val="center"/>
    </w:pPr>
  </w:style>
  <w:style w:type="paragraph" w:customStyle="1" w:styleId="CentreBold">
    <w:name w:val="Centre Bold"/>
    <w:basedOn w:val="Normal"/>
    <w:rsid w:val="00016C09"/>
    <w:pPr>
      <w:jc w:val="center"/>
    </w:pPr>
    <w:rPr>
      <w:b/>
    </w:rPr>
  </w:style>
  <w:style w:type="paragraph" w:customStyle="1" w:styleId="TableTextCenter">
    <w:name w:val="TableTextCenter"/>
    <w:aliases w:val="TTC"/>
    <w:basedOn w:val="TableText"/>
    <w:rsid w:val="00A67ADE"/>
    <w:pPr>
      <w:jc w:val="center"/>
    </w:pPr>
  </w:style>
  <w:style w:type="paragraph" w:customStyle="1" w:styleId="TableTextRight">
    <w:name w:val="TableTextRight"/>
    <w:aliases w:val="TTR"/>
    <w:basedOn w:val="TableText"/>
    <w:rsid w:val="00A67ADE"/>
    <w:pPr>
      <w:jc w:val="right"/>
    </w:pPr>
  </w:style>
  <w:style w:type="paragraph" w:customStyle="1" w:styleId="TableHeadingLeft">
    <w:name w:val="TableHeadingLeft"/>
    <w:aliases w:val="THL"/>
    <w:basedOn w:val="TableHeading"/>
    <w:rsid w:val="00A67ADE"/>
    <w:pPr>
      <w:jc w:val="left"/>
    </w:pPr>
  </w:style>
  <w:style w:type="paragraph" w:customStyle="1" w:styleId="TableHeadingRight">
    <w:name w:val="TableHeadingRight"/>
    <w:aliases w:val="THR"/>
    <w:basedOn w:val="TableHeading"/>
    <w:rsid w:val="00A67ADE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1167</TotalTime>
  <Pages>2</Pages>
  <Words>818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Manager/>
  <Company>Stieber Berlach LLP</Company>
  <LinksUpToDate>false</LinksUpToDate>
  <CharactersWithSpaces>5099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subject/>
  <dc:creator>Chris Afonso</dc:creator>
  <cp:keywords/>
  <dc:description>v1.02</dc:description>
  <cp:lastModifiedBy>Chris Afonso</cp:lastModifiedBy>
  <cp:revision>16</cp:revision>
  <dcterms:created xsi:type="dcterms:W3CDTF">2019-02-11T22:04:00Z</dcterms:created>
  <dcterms:modified xsi:type="dcterms:W3CDTF">2019-02-15T18:35:00Z</dcterms:modified>
  <cp:category/>
</cp:coreProperties>
</file>